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61CC4" w:rsidRPr="00386F9C" w:rsidRDefault="00386F9C" w:rsidP="00386F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386F9C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3C76823" wp14:editId="23F2E161">
            <wp:simplePos x="0" y="0"/>
            <wp:positionH relativeFrom="margin">
              <wp:align>center</wp:align>
            </wp:positionH>
            <wp:positionV relativeFrom="page">
              <wp:posOffset>1438275</wp:posOffset>
            </wp:positionV>
            <wp:extent cx="3682992" cy="1409609"/>
            <wp:effectExtent l="0" t="0" r="0" b="635"/>
            <wp:wrapTopAndBottom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2992" cy="140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CC4" w:rsidRPr="00386F9C">
        <w:rPr>
          <w:rFonts w:cs="Times New Roman"/>
          <w:sz w:val="36"/>
          <w:szCs w:val="36"/>
        </w:rPr>
        <w:t>REGULATIV FOR HUSHOLDNINGSAFFALD</w:t>
      </w:r>
    </w:p>
    <w:p w:rsidR="00C61CC4" w:rsidRDefault="00C61CC4">
      <w:pPr>
        <w:rPr>
          <w:rFonts w:cs="Times New Roman,Bold"/>
          <w:b/>
          <w:bCs/>
          <w:sz w:val="36"/>
          <w:szCs w:val="36"/>
        </w:rPr>
      </w:pPr>
      <w:r w:rsidRPr="00386F9C">
        <w:rPr>
          <w:rFonts w:cs="Times New Roman,Bold"/>
          <w:b/>
          <w:bCs/>
          <w:sz w:val="36"/>
          <w:szCs w:val="36"/>
        </w:rPr>
        <w:br w:type="page"/>
      </w:r>
    </w:p>
    <w:p w:rsidR="00C70BBB" w:rsidRPr="00B87791" w:rsidRDefault="00C70BBB" w:rsidP="00C70BB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  <w:r w:rsidRPr="00B87791">
        <w:rPr>
          <w:rFonts w:cs="Times New Roman,Bold"/>
          <w:b/>
          <w:bCs/>
          <w:sz w:val="36"/>
          <w:szCs w:val="36"/>
        </w:rPr>
        <w:lastRenderedPageBreak/>
        <w:t>Indholdsfortegnelse</w:t>
      </w:r>
      <w:bookmarkStart w:id="0" w:name="_GoBack"/>
      <w:bookmarkEnd w:id="0"/>
    </w:p>
    <w:p w:rsidR="002F6417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r>
        <w:rPr>
          <w:rFonts w:cs="Times New Roman,Bold"/>
          <w:b/>
          <w:bCs/>
          <w:sz w:val="36"/>
          <w:szCs w:val="36"/>
        </w:rPr>
        <w:fldChar w:fldCharType="begin"/>
      </w:r>
      <w:r>
        <w:rPr>
          <w:rFonts w:cs="Times New Roman,Bold"/>
          <w:b/>
          <w:bCs/>
          <w:sz w:val="36"/>
          <w:szCs w:val="36"/>
        </w:rPr>
        <w:instrText xml:space="preserve"> TOC \o "1-1" \h \z \u </w:instrText>
      </w:r>
      <w:r>
        <w:rPr>
          <w:rFonts w:cs="Times New Roman,Bold"/>
          <w:b/>
          <w:bCs/>
          <w:sz w:val="36"/>
          <w:szCs w:val="36"/>
        </w:rPr>
        <w:fldChar w:fldCharType="separate"/>
      </w:r>
      <w:hyperlink w:anchor="_Toc490644549" w:history="1">
        <w:r w:rsidR="002F6417" w:rsidRPr="007674C8">
          <w:rPr>
            <w:rStyle w:val="Hyperlink"/>
            <w:noProof/>
          </w:rPr>
          <w:t>Indledning med formål m.m.</w:t>
        </w:r>
        <w:r w:rsidR="002F6417">
          <w:rPr>
            <w:noProof/>
            <w:webHidden/>
          </w:rPr>
          <w:tab/>
        </w:r>
        <w:r w:rsidR="002F6417">
          <w:rPr>
            <w:noProof/>
            <w:webHidden/>
          </w:rPr>
          <w:fldChar w:fldCharType="begin"/>
        </w:r>
        <w:r w:rsidR="002F6417">
          <w:rPr>
            <w:noProof/>
            <w:webHidden/>
          </w:rPr>
          <w:instrText xml:space="preserve"> PAGEREF _Toc490644549 \h </w:instrText>
        </w:r>
        <w:r w:rsidR="002F6417">
          <w:rPr>
            <w:noProof/>
            <w:webHidden/>
          </w:rPr>
        </w:r>
        <w:r w:rsidR="002F6417">
          <w:rPr>
            <w:noProof/>
            <w:webHidden/>
          </w:rPr>
          <w:fldChar w:fldCharType="separate"/>
        </w:r>
        <w:r w:rsidR="002F6417">
          <w:rPr>
            <w:noProof/>
            <w:webHidden/>
          </w:rPr>
          <w:t>3</w:t>
        </w:r>
        <w:r w:rsidR="002F6417"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0" w:history="1">
        <w:r w:rsidRPr="007674C8">
          <w:rPr>
            <w:rStyle w:val="Hyperlink"/>
            <w:noProof/>
          </w:rPr>
          <w:t>§9 Ordning for dagrenovation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1" w:history="1">
        <w:r w:rsidRPr="007674C8">
          <w:rPr>
            <w:rStyle w:val="Hyperlink"/>
            <w:noProof/>
          </w:rPr>
          <w:t>§10 Ordning for papiraffald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2" w:history="1">
        <w:r w:rsidRPr="007674C8">
          <w:rPr>
            <w:rStyle w:val="Hyperlink"/>
            <w:noProof/>
          </w:rPr>
          <w:t>§11 Ordning for papaffald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3" w:history="1">
        <w:r w:rsidRPr="007674C8">
          <w:rPr>
            <w:rStyle w:val="Hyperlink"/>
            <w:noProof/>
          </w:rPr>
          <w:t>§12 Ordning for glasemballageaffald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4" w:history="1">
        <w:r w:rsidRPr="007674C8">
          <w:rPr>
            <w:rStyle w:val="Hyperlink"/>
            <w:noProof/>
          </w:rPr>
          <w:t>§13 Ordning for genanvendeligt metalemballageaffald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5" w:history="1">
        <w:r w:rsidRPr="007674C8">
          <w:rPr>
            <w:rStyle w:val="Hyperlink"/>
            <w:noProof/>
          </w:rPr>
          <w:t>§14 Ordning for genanvendeligt plastemballageaffald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6" w:history="1">
        <w:r w:rsidRPr="007674C8">
          <w:rPr>
            <w:rStyle w:val="Hyperlink"/>
            <w:noProof/>
          </w:rPr>
          <w:t>§15 Ordning for genbrugspladserne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7" w:history="1">
        <w:r w:rsidRPr="007674C8">
          <w:rPr>
            <w:rStyle w:val="Hyperlink"/>
            <w:noProof/>
          </w:rPr>
          <w:t>§16 Ordning for PVC-affald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8" w:history="1">
        <w:r w:rsidRPr="007674C8">
          <w:rPr>
            <w:rStyle w:val="Hyperlink"/>
            <w:noProof/>
          </w:rPr>
          <w:t>§17 Ordning for imprægneret træ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59" w:history="1">
        <w:r w:rsidRPr="007674C8">
          <w:rPr>
            <w:rStyle w:val="Hyperlink"/>
            <w:noProof/>
          </w:rPr>
          <w:t>§18 Ordning for farligt 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0" w:history="1">
        <w:r w:rsidRPr="007674C8">
          <w:rPr>
            <w:rStyle w:val="Hyperlink"/>
            <w:noProof/>
          </w:rPr>
          <w:t>§19 Ordning for affald af elektriske og elektroniske produkter (WEEE)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1" w:history="1">
        <w:r w:rsidRPr="007674C8">
          <w:rPr>
            <w:rStyle w:val="Hyperlink"/>
            <w:noProof/>
          </w:rPr>
          <w:t>§20 Ordning for bærbare batterier og akkumulatorer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2" w:history="1">
        <w:r w:rsidRPr="007674C8">
          <w:rPr>
            <w:rStyle w:val="Hyperlink"/>
            <w:noProof/>
          </w:rPr>
          <w:t>§21 Ordning for bygge- og anlægsaffald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3" w:history="1">
        <w:r w:rsidRPr="007674C8">
          <w:rPr>
            <w:rStyle w:val="Hyperlink"/>
            <w:noProof/>
          </w:rPr>
          <w:t>§22 Ordning for storskrald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4" w:history="1">
        <w:r w:rsidRPr="007674C8">
          <w:rPr>
            <w:rStyle w:val="Hyperlink"/>
            <w:noProof/>
          </w:rPr>
          <w:t>§23 Ordning for hjemmekompostering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5" w:history="1">
        <w:r w:rsidRPr="007674C8">
          <w:rPr>
            <w:rStyle w:val="Hyperlink"/>
            <w:noProof/>
          </w:rPr>
          <w:t>§24 Ordning for haveaffald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6" w:history="1">
        <w:r w:rsidRPr="007674C8">
          <w:rPr>
            <w:rStyle w:val="Hyperlink"/>
            <w:noProof/>
          </w:rPr>
          <w:t>§25 Ordning for bortskaffelse af større mængder affald(anvisningsordning)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7" w:history="1">
        <w:r w:rsidRPr="007674C8">
          <w:rPr>
            <w:rStyle w:val="Hyperlink"/>
            <w:noProof/>
          </w:rPr>
          <w:t>§26 Ordning for tøj og sko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F6417" w:rsidRDefault="002F6417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90644568" w:history="1">
        <w:r w:rsidRPr="007674C8">
          <w:rPr>
            <w:rStyle w:val="Hyperlink"/>
            <w:noProof/>
          </w:rPr>
          <w:t>§27 Ordning for PCB-holdigt 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_Toc490644568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86F9C" w:rsidRDefault="00C70BBB">
      <w:pPr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fldChar w:fldCharType="end"/>
      </w:r>
      <w:r w:rsidR="00386F9C">
        <w:rPr>
          <w:rFonts w:cs="Times New Roman,Bold"/>
          <w:b/>
          <w:bCs/>
          <w:sz w:val="36"/>
          <w:szCs w:val="36"/>
        </w:rPr>
        <w:br w:type="page"/>
      </w:r>
    </w:p>
    <w:p w:rsidR="00386F9C" w:rsidRDefault="00386F9C" w:rsidP="00386F9C">
      <w:pPr>
        <w:pStyle w:val="Overskrift1"/>
      </w:pPr>
      <w:bookmarkStart w:id="1" w:name="_Toc490644549"/>
      <w:r>
        <w:lastRenderedPageBreak/>
        <w:t>Indledning med formål m.m.</w:t>
      </w:r>
      <w:bookmarkEnd w:id="1"/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 Formål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Formålet med dette regulativ er at fastsætte regler for håndtering af husholdningsaffald fra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alle borgere og grundejere i Svendborg Kommune med henblik på at forebygge forurening,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uhygiejniske forhold for miljø og mennesker og begrænse ressourceanvendelsen ved at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fremme genanvendelse af affald.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Formålet er endvidere efter miljøbeskyttelsesloven at fastsætte regler om de kommuna</w:t>
      </w:r>
      <w:r w:rsidR="00386F9C">
        <w:rPr>
          <w:rFonts w:cs="Times New Roman"/>
          <w:sz w:val="24"/>
          <w:szCs w:val="24"/>
        </w:rPr>
        <w:t>l</w:t>
      </w:r>
      <w:r w:rsidRPr="00386F9C">
        <w:rPr>
          <w:rFonts w:cs="Times New Roman"/>
          <w:sz w:val="24"/>
          <w:szCs w:val="24"/>
        </w:rPr>
        <w:t>e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affaldsordningers omfang og tilrettelæggelse m.v. med henblik på at etablere og skabe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rammerne for velfungerende kommunale ordninger, herunder normere de praktiske </w:t>
      </w:r>
      <w:r w:rsidR="00386F9C">
        <w:rPr>
          <w:rFonts w:cs="Times New Roman"/>
          <w:sz w:val="24"/>
          <w:szCs w:val="24"/>
        </w:rPr>
        <w:t>f</w:t>
      </w:r>
      <w:r w:rsidRPr="00386F9C">
        <w:rPr>
          <w:rFonts w:cs="Times New Roman"/>
          <w:sz w:val="24"/>
          <w:szCs w:val="24"/>
        </w:rPr>
        <w:t>orhold i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forbindelse med afviklingen af affaldsindsamlingen og -håndteringen.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 Lovgrundlag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Regulativet er udarbejdet i henhold til gældende miljølovgivning, herunder navnlig: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Lov om miljøbeskyttelse (miljøbeskyttelsesloven).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affald (affaldsbekendtgørelsen).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markedsføring af elektrisk og elektronisk udstyr samt håndtering af affald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 elektrisk og elektronisk udstyr (elektronikaffaldsbekendtgørelsen).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batterier og akkumulatorer og udtjente batterier og akkumulatorer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(batteribekendtgørelsen).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visse krav til emballager (emballagebekendtgørelsen).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§3 Definitioner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 definitioner, der anvendes i dette regulativ, svarer til de definitioner, der fremgår af den til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enhver tid gældende affaldsbekendtgørelse.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§4 Gebyrer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fastsætter gebyrer i henhold til miljøbeskyttelsesloven samt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vedtager efter affaldsbekendtgørelsen én gang årligt et gebyrblad, der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angiver størrelsen på ovennævnte gebyrer. Gebyrbladet er tilgængeligt på Svendborg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Kommunes hjemmeside.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§5 Klage m.v.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Kommunalbestyrelsens afgørelser kan efter affaldsbekendtgørelsen ikke påklages til anden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administrativ myndighed.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Efter lov om kommunernes styrelse kan spørgsmål om, hvorvidt kommunen overholder den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lovgivning, der særligt gælder for offentlige myndigheder, herunder kommunale forskrifter,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der er udstedt i medfør af denne lovgivning, indbringes for statsforvaltningen i den region,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hvori kommunen er beliggende. Statsforvaltningen beslutter selv, om der er tilstrækkeligt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grundlag for at rejse en tilsynssag.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§6 Overtrædelse og straf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Overtrædelse af regulativet straffes efter affaldsbekendtgørelsen med bøde.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Efter affaldsbekendtgørelsen kan straffen stige til fængsel i indtil 2 år, hvis overtrædelsen er</w:t>
      </w:r>
      <w:r w:rsidR="00E93E42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begået forsætligt eller ved grov uagtsomhed, og hvis der ved overtrædelsen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1. voldt skade på miljøet eller fremkaldt fare herfor, eller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2. opnået eller tilsigtet en økonomisk fordel for den pågældende selv eller andre, herunder</w:t>
      </w:r>
      <w:r w:rsidR="00E93E42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ved besparelser.</w:t>
      </w:r>
    </w:p>
    <w:p w:rsidR="00E93E42" w:rsidRDefault="00E93E42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§7 Bemyndigelse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har bemyndiget Kultur, Erhverv og Udv</w:t>
      </w:r>
      <w:r w:rsidR="00E93E42">
        <w:rPr>
          <w:rFonts w:cs="Times New Roman"/>
          <w:sz w:val="24"/>
          <w:szCs w:val="24"/>
        </w:rPr>
        <w:t xml:space="preserve">ikling til at træffe afgørelser </w:t>
      </w:r>
      <w:r w:rsidRPr="00386F9C">
        <w:rPr>
          <w:rFonts w:cs="Times New Roman"/>
          <w:sz w:val="24"/>
          <w:szCs w:val="24"/>
        </w:rPr>
        <w:t>efter dette regulativ.</w:t>
      </w:r>
    </w:p>
    <w:p w:rsidR="00E93E42" w:rsidRDefault="00E93E42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§8 Ikrafttrædelse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Regulativet træder i kraft den 24-01-2017.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Samtidig med ikrafttrædelsen af dette regulativ ophæves følgende: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 for husholdningsaffald for Svendborg Kommune af 30. januar 2013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Således vedtaget af kommunalbestyrelsen den 20-12-2016.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Borgmester Lars Erik Hornemann Kommunaldirektør Erik Meldgård </w:t>
      </w:r>
      <w:proofErr w:type="spellStart"/>
      <w:r w:rsidRPr="00386F9C">
        <w:rPr>
          <w:rFonts w:cs="Times New Roman"/>
          <w:sz w:val="24"/>
          <w:szCs w:val="24"/>
        </w:rPr>
        <w:t>Bendorf</w:t>
      </w:r>
      <w:proofErr w:type="spellEnd"/>
    </w:p>
    <w:p w:rsidR="00E93E42" w:rsidRDefault="00E93E42">
      <w:pPr>
        <w:rPr>
          <w:rFonts w:cs="Times New Roman,Bold"/>
          <w:b/>
          <w:bCs/>
          <w:sz w:val="24"/>
          <w:szCs w:val="24"/>
        </w:rPr>
      </w:pPr>
      <w:r>
        <w:rPr>
          <w:rFonts w:cs="Times New Roman,Bold"/>
          <w:b/>
          <w:bCs/>
          <w:sz w:val="24"/>
          <w:szCs w:val="24"/>
        </w:rPr>
        <w:br w:type="page"/>
      </w:r>
    </w:p>
    <w:p w:rsidR="00E93E42" w:rsidRDefault="00E93E42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E93E42">
      <w:pPr>
        <w:pStyle w:val="Overskrift1"/>
      </w:pPr>
      <w:bookmarkStart w:id="2" w:name="_Toc490644550"/>
      <w:r w:rsidRPr="00386F9C">
        <w:t>§9 Ordning for dagrenovation</w:t>
      </w:r>
      <w:bookmarkEnd w:id="2"/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§9.1 Hvad er dagrenovation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Dagrenovation er affald, der er defineret som dagrenovation i affaldsbekendtgørelsen.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Følgende affaldstyper er eksempler på dagrenovation: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fedt, kød, fisk og pålæg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brødrester</w:t>
      </w:r>
      <w:proofErr w:type="spellEnd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engangsbleer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forurenet pap, papir, stanniol m.m.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sammensatte produkter fx smørbøtter, mælke- og juicekartoner o. lign.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sod og aske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kommunen, hvor borgeren og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grundejeren frembringer dagrenovation, herunder dagrenovation fra eventuel tilknyttet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erhvervsvirksomhed.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kommunen, hvor borgeren og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grundejeren frembringer dagrenovation.</w:t>
      </w:r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er en henteordning og omfatter affald, som er normalt forekommende i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husholdninger og som ikke kan bortskaffes til andre af de ordninger, som er beskrevet i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regulativet.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Batterier og småt elektronik tages med hvis de er lagt hver for sig i klare poser på låget af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skraldespanden.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Genanvendelige materialer, som f.eks. papir, glas, metal, pap og papir må ikke bortskaffes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sammen med dagrenovationen. De genanvendelige materialer skal afleveres til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genanvendelse ved miljøstationer, storskraldsordningen, på genbrugsstationen eller øvrige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kommunale ordninger.</w:t>
      </w:r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Dagrenovation skal bortskaffes til forbrænding på: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Svendborg Kraftvarme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Bodøvej 15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Borgeren og grundejeren kan kompostere den vegetabilske del af dagrenovationen på den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matrikel, hvor husholdningen er beliggende.</w:t>
      </w:r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§9.4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Det påhviler borgeren og grundejeren at anskaffe/modtage og benytte de af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 anviste beholdere til dagrenovation.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kan pålægge brugeren, at benytte en bestemt type affaldsbeholder hvis særlige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forhold på ejendommen nødvendiggør det.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Borgeren og grundejeren anskaffer og vedligeholder selv beholdere efter anvisning fra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Beholderen skal være grøn, påtrykt volumen og skal kunne godkendes af renovatøren.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Det påhviler desuden borgere og grundejeren at efterkomme de bestemmelser, som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 træffer til sikring af beholdere.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kan, hvor lokale forhold nødvendiggør dette, stille yderligere krav til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beholdere.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§9.5 Kapacitet for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afgør, om en beholder er overfyldt.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der gentagne gange konstateres overfyldning, kan kommunalbestyrelsen – efter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forudgående skriftligt varsel – ændre beholderstørrelsen, således at overfyldning undgås.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affaldsbeholdere forstås sække, spande og containere. Oplysning om hvilke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affaldsbeholdere, som er godkendt, fås ved henvendelse til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 opsamling af restaffald fås følgende beholderstørrelser: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- 110 liters papirsæk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- 140 liters spand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- 190 liters spand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  <w:lang w:val="en-US"/>
        </w:rPr>
        <w:t xml:space="preserve">- 240 liters </w:t>
      </w:r>
      <w:proofErr w:type="spellStart"/>
      <w:r w:rsidRPr="00386F9C">
        <w:rPr>
          <w:rFonts w:cs="Times New Roman"/>
          <w:sz w:val="24"/>
          <w:szCs w:val="24"/>
          <w:lang w:val="en-US"/>
        </w:rPr>
        <w:t>spand</w:t>
      </w:r>
      <w:proofErr w:type="spellEnd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  <w:lang w:val="en-US"/>
        </w:rPr>
        <w:t>- 400 liters container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  <w:lang w:val="en-US"/>
        </w:rPr>
        <w:t>- 600 liters container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- 800 liters container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Anskaffelse af 140 liters, 190 liters og 240 liters spande og sækkestativ, påhviler brugeren –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disse kan købes af Vand &amp; Affald på genbrugsstationen. De kan også udbringes af Vand og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 mod et gebyr, der fremgår af takstbladet. Betaling for beholdere/sækkestativer kan ske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betalingskort på</w:t>
      </w:r>
      <w:r w:rsidR="00AA54C6">
        <w:rPr>
          <w:rFonts w:cs="Times New Roman"/>
          <w:sz w:val="24"/>
          <w:szCs w:val="24"/>
        </w:rPr>
        <w:t xml:space="preserve"> genbrugsstationen, eller sammen</w:t>
      </w:r>
      <w:r w:rsidRPr="00386F9C">
        <w:rPr>
          <w:rFonts w:cs="Times New Roman"/>
          <w:sz w:val="24"/>
          <w:szCs w:val="24"/>
        </w:rPr>
        <w:t xml:space="preserve"> med regningen for øvrige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forbrugsafgifter ved Vand &amp; Affald (vand, </w:t>
      </w:r>
      <w:r w:rsidR="00AA54C6" w:rsidRPr="00386F9C">
        <w:rPr>
          <w:rFonts w:cs="Times New Roman"/>
          <w:sz w:val="24"/>
          <w:szCs w:val="24"/>
        </w:rPr>
        <w:t>spildevand, renovation</w:t>
      </w:r>
      <w:r w:rsidRPr="00386F9C">
        <w:rPr>
          <w:rFonts w:cs="Times New Roman"/>
          <w:sz w:val="24"/>
          <w:szCs w:val="24"/>
        </w:rPr>
        <w:t>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Containere på hhv. 400, 600 og 800 liter lejes af Vand &amp; Affald og lejeprisen er inkl. </w:t>
      </w:r>
      <w:r w:rsidR="00AA54C6" w:rsidRPr="00386F9C">
        <w:rPr>
          <w:rFonts w:cs="Times New Roman"/>
          <w:sz w:val="24"/>
          <w:szCs w:val="24"/>
        </w:rPr>
        <w:t>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gebyret. Det er dog brugerens ansvar, at rengøre og vedligeholde containeren. Beskadiges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containeren skal renovatøren kontaktes.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§9.6 Anbringelse af beholdere</w:t>
      </w:r>
    </w:p>
    <w:p w:rsidR="00AA54C6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Affaldsbeholderen skal senest kl. 6 på afhentningsdagen placeres ved skel. (0-2 meter inde på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grunden)</w:t>
      </w:r>
    </w:p>
    <w:p w:rsidR="00C61CC4" w:rsidRPr="00386F9C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Affaldet kan afhentes op til 25 meter inde på grunden mod et ekstra gebyr.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affaldet ønskes hentet inden for ejendommens skel mod et ekstra gebyr, skal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nedenstående krav være opfyldt.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Ekstragebyret fremgår af takstbladet. Hvor det ikke er muligt at overholde afstandskravet på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25 meter, kan affaldet hentes op til 50 meter inde på grunden mod dobbelt gebyr. Dette kan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kun ske efter aftale med Svendborg Kommune.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Krav til transport- og adgangsveje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Transport- og adgangsveje skal være plane, jævne og med kørefast belægning. Med kørefast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belægning menes fliser, asfalt eller støbt belægning (beton).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Transport- og adgangsveje skal så vidt muligt være vandrette og være så brede og høje, at der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sikres fri passage.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hældninger under 1:10 og hældninger op til 1:7, der er kortere end 5 meter, stilles der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ikke krav om trin, repos </w:t>
      </w:r>
      <w:proofErr w:type="spellStart"/>
      <w:r w:rsidRPr="00386F9C">
        <w:rPr>
          <w:rFonts w:cs="Times New Roman"/>
          <w:sz w:val="24"/>
          <w:szCs w:val="24"/>
        </w:rPr>
        <w:t>o.lign</w:t>
      </w:r>
      <w:proofErr w:type="spellEnd"/>
      <w:r w:rsidRPr="00386F9C">
        <w:rPr>
          <w:rFonts w:cs="Times New Roman"/>
          <w:sz w:val="24"/>
          <w:szCs w:val="24"/>
        </w:rPr>
        <w:t>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større eller længere hældning kan Vand &amp; Affald kontaktes for nærmere retningslinjer.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Døre, låger og lignende skal kunne fastholdes i åben stilling, og anslagslister, tærskler og trin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være forsynet med faste skråkiler eller lignende.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Transport- og adgangsveje skal være ryddet for andet affald, materialer, udragende grene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videre, og de skal være vel oplyste, rene og vedligeholdte, og skal være ryddet for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eventuel sne og må ikke være glatte.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afhentning af renovationsbeholdere skal håndgreb være placeret, så det er lettest muligt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at få fat i dem.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Der skal være adgang til renovationsbeholdere uden risiko for at blive forulempet af løse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hunde.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Affaldsrum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Affaldsrum i samlede bebyggelser skal have elektrisk belysning og dørene skal være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selvlukkende og rottesikrede. Med hensyn til øvrig indretning henvises til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byggelovgivningen.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affaldsrummet er låst, skal der være låst op på tømningsdagen eller der kan efter aftale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renovatøren udleveres 2 stk. nøgler til denne.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§9.7 Anvendelse og fyldning af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Beholdere må ikke fyldes mere, end at låget kan lukkes tæt og affaldet ikke klemmes fast 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beholderen.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Sod, aske og slagger skal være fuldstændigt afkølet samt emballeret inden anbringelse 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beholderen.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Skarpe, skærende, rivende eller spidse genstande samt støvende, vådt og uhygiejnisk affald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være forsvarligt emballeret inden anbringelse i beholderen, så der hverken kan ske skade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på personer eller på beholderen, herunder eventuelt affaldssæk.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Affaldssække må kun fyldes til den markerede påfyldning</w:t>
      </w:r>
      <w:r w:rsidR="00A80578">
        <w:rPr>
          <w:rFonts w:cs="Times New Roman"/>
          <w:sz w:val="24"/>
          <w:szCs w:val="24"/>
        </w:rPr>
        <w:t>s</w:t>
      </w:r>
      <w:r w:rsidRPr="00386F9C">
        <w:rPr>
          <w:rFonts w:cs="Times New Roman"/>
          <w:sz w:val="24"/>
          <w:szCs w:val="24"/>
        </w:rPr>
        <w:t>streg.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Organisk affald, vådt og ulækkert affald skal indpakkes i tætte og lukkede plastposer.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Til lejlighedsvis forekommende ekstra affald kan der købes særlige lukkeclips der kan bruges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sammen med en sæk eller en pose. Der er ingen særlige krav til posen/sækken.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Prisen for lukkeclipsen fremgår af kommunens takstblad, som "ekstra </w:t>
      </w:r>
      <w:r w:rsidR="00A80578" w:rsidRPr="00386F9C">
        <w:rPr>
          <w:rFonts w:cs="Times New Roman"/>
          <w:sz w:val="24"/>
          <w:szCs w:val="24"/>
        </w:rPr>
        <w:t>sæk” og</w:t>
      </w:r>
      <w:r w:rsidRPr="00386F9C">
        <w:rPr>
          <w:rFonts w:cs="Times New Roman"/>
          <w:sz w:val="24"/>
          <w:szCs w:val="24"/>
        </w:rPr>
        <w:t xml:space="preserve"> kan købes 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dagligvarebutikker, i Borgerservice eller på genbrugsstationerne. Den fyldte ekstrasæk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placeres ved den normale affaldsbeholder og medtages på næste normale afhentningsdag.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§9.8 Renholdelse af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Det påhviler brugeren af ordningen at ren- og vedligeholde affaldsbeholderen.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§9.9 Afhentning af dagrenovation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Afhentning af dagrenovation foretages af en renovatør kommunen har lavet aftale med, én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gang om ugen i sommermånederne juni – august og én gang hver 14. dag i årets øvrige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måneder - så vidt muligt på samme ugedag. Den nærmere fastsatte sommertømningsperiode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(datoer) fremgår af den husstandsomdelte affaldshåndbog samt findes på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www.vandogaffald.dk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kan dog vedtage at ændre på tømningsintervaller.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Spande, containere og sække bliver ikke tømt såfremt: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fyldningsgrænsen ikke er overholdt,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affaldsbeholderen ikke er vedligeholdt og renholdt,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sækkestativet er ødelagt,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sækken er revnet eller gennemvædet,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andre af regulativets bestemmelser er tilsidesat.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Renovationsarbejderen stiller spanden tilbage på standpladsen efter tømning/isætter en ny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sæk i sækkestativet ved afhentning af den brugte/fyldte sæk.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§9.10 Tilmelding/afmelding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Til- og afmelding foretages til kommunalbestyrelsen.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Driften af ordningen for dagrenovation varetages af affaldsselskabet, det vil sige at du skal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tilmelde dig ordningen hos: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Vand og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Ryttermarken 21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Mail: post@vandogaffald.dk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Tlf.: 63215515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Grundejere kan også ændre deres tilmelding på www.vandogaffald.dk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Alle boliger, der er registreret som bolig i BBR, er forpligtet til at være tilmeldt 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Det påhviler enhver husejer at sikre, at alle boliger er tilmeldt 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Hver husstand tilmeldt ordningen skal som minimum have opstillet én affaldsbeholder.</w:t>
      </w:r>
    </w:p>
    <w:p w:rsidR="00C61CC4" w:rsidRPr="00386F9C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Flerfamiliehuse</w:t>
      </w:r>
      <w:r w:rsidR="00C61CC4" w:rsidRPr="00386F9C">
        <w:rPr>
          <w:rFonts w:cs="Times New Roman"/>
          <w:sz w:val="24"/>
          <w:szCs w:val="24"/>
        </w:rPr>
        <w:t xml:space="preserve"> og etageejendomme skal normalt være tilmeldt med én enhed pr. husstand,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dog kan det, efter konkret vurdering fra kommunen tages op, om behovet er tilstede.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En bolig, som har stået ubeboet i mere end 6 måneder, kan få dispensation fra kravet om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tilmelding af beholder, indtil den bliver beboet igen.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Der kan yderligere søges om dispensation fra 6 måneders reglen, i de tilfælde hvor boligen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står ubeboet på grund af, at:</w:t>
      </w:r>
    </w:p>
    <w:p w:rsidR="00A80578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ejeren er fraflyttet boligen permanent til plejehjem,</w:t>
      </w:r>
      <w:r w:rsidR="00A80578">
        <w:rPr>
          <w:rFonts w:cs="Times New Roman"/>
          <w:sz w:val="24"/>
          <w:szCs w:val="24"/>
        </w:rPr>
        <w:t xml:space="preserve"> 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ejeren arbejder i udlandet og boligen står tom, eller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lignende situationer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virksomheder, der har en bolig tilknyttet, kan dokumentere at der afhentes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dagrenovation hver 14. dag eller hyppigere, kan der efter ansøgning meddeles dispensation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 beboelsens benyttelsespligt af dagrenovationsordningen.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Henvendelse vedrørende dispensationer rettes til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&amp;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Ryttermarken 21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mail: post@vandogaffald.dk; tlf. 6321 5515</w:t>
      </w:r>
    </w:p>
    <w:p w:rsidR="00A80578" w:rsidRDefault="00A80578" w:rsidP="00A80578">
      <w:pPr>
        <w:pStyle w:val="Overskrift1"/>
      </w:pPr>
    </w:p>
    <w:p w:rsidR="00C61CC4" w:rsidRPr="00386F9C" w:rsidRDefault="00C61CC4" w:rsidP="00A80578">
      <w:pPr>
        <w:pStyle w:val="Overskrift1"/>
      </w:pPr>
      <w:bookmarkStart w:id="3" w:name="_Toc490644551"/>
      <w:r w:rsidRPr="00386F9C">
        <w:t>§10 Ordning for papiraffald</w:t>
      </w:r>
      <w:bookmarkEnd w:id="3"/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§10.1 Hvad er papiraffald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genanvendelige papirmaterialer herunder: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aviser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tryksager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ugeblade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reklamer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bøger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skrivepapir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andet papir</w:t>
      </w:r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 papiraffald.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genanvendelige papirmaterialer som beskrevet i § 10.1.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Papiraffald kan afleveres i de opstillede miljøstationer i kommunen, på genbrugsstationerne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eller til 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Papir, som er tilsmudset, skal bortskaffes som dagrenovationsaffald (se § 9).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Der gøres opmærksom på, at pap ikke kan afleveres som papiraffald. Se i stedet § 11.</w:t>
      </w:r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kan tillade virksomheder, private organisationer og andre at indsamle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papiraffald. Ansøgning herom sendes til affaldsselskabet, der sender ansøgningen videre: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og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Ryttermarken 21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</w:t>
      </w:r>
    </w:p>
    <w:p w:rsidR="00A80578" w:rsidRDefault="00A80578" w:rsidP="00A80578">
      <w:pPr>
        <w:pStyle w:val="Overskrift1"/>
      </w:pPr>
    </w:p>
    <w:p w:rsidR="00C61CC4" w:rsidRPr="00386F9C" w:rsidRDefault="00C61CC4" w:rsidP="00A80578">
      <w:pPr>
        <w:pStyle w:val="Overskrift1"/>
      </w:pPr>
      <w:bookmarkStart w:id="4" w:name="_Toc490644552"/>
      <w:r w:rsidRPr="00386F9C">
        <w:t>§11 Ordning for papaffald</w:t>
      </w:r>
      <w:bookmarkEnd w:id="4"/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§11.1 Hvad er papaffald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genanvendeligt pap, herved forstås alt rent pap.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§11.2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§11.3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formål, at sikre størst mulig genanvendelse af pap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genanvendelige papmaterialer.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 kan afleveres på genbrugsstationerne eller til 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Pap, som er tilsmudset, skal bortskaffes som dagrenovationsaffald (se § 9).</w:t>
      </w:r>
    </w:p>
    <w:p w:rsidR="009C7E91" w:rsidRDefault="009C7E91" w:rsidP="009C7E91">
      <w:pPr>
        <w:pStyle w:val="Overskrift1"/>
      </w:pPr>
    </w:p>
    <w:p w:rsidR="00C61CC4" w:rsidRPr="00386F9C" w:rsidRDefault="00C61CC4" w:rsidP="009C7E91">
      <w:pPr>
        <w:pStyle w:val="Overskrift1"/>
      </w:pPr>
      <w:bookmarkStart w:id="5" w:name="_Toc490644553"/>
      <w:r w:rsidRPr="00386F9C">
        <w:t>§12 Ordning for glasemballageaffald</w:t>
      </w:r>
      <w:bookmarkEnd w:id="5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§12.1 Hvad er glasemballageaffald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Glasemballageaffald er emballageaffald af glas, der er omfattet af definitionen på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emballageaffald i emballagebekendtgørelsen.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Eksempler på glasemballageaffald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vin- og spiritusflasker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emballage- og husholdningsglas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§12.2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§12.3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glasemballageaffald.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genanvendeligt glasemballageaffald som beskrevet i §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12.1.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Glasemballageaffald kan afleveres i de opstillede miljøstationer i kommunen, på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genbrugsstationerne eller til 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Glasemballageaffald skal være tømt for indhold og rengjort. Eventuelt skruelåg på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emballageglas må gerne sidde på.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Der gøres opmærksom på, at vinduesglas ikke kan afleveres som glasemballageaffald, men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afleveres på genbrugsstationerne i containeren til vinduesglas.</w:t>
      </w:r>
    </w:p>
    <w:p w:rsidR="00D61296" w:rsidRDefault="00D61296" w:rsidP="00D61296">
      <w:pPr>
        <w:pStyle w:val="Overskrift1"/>
      </w:pPr>
    </w:p>
    <w:p w:rsidR="00C61CC4" w:rsidRPr="00386F9C" w:rsidRDefault="00C61CC4" w:rsidP="00D61296">
      <w:pPr>
        <w:pStyle w:val="Overskrift1"/>
      </w:pPr>
      <w:bookmarkStart w:id="6" w:name="_Toc490644554"/>
      <w:r w:rsidRPr="00386F9C">
        <w:t>§13 Ordning for genanvendeligt metalemballageaffald</w:t>
      </w:r>
      <w:bookmarkEnd w:id="6"/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§13.1 Hvad er genanvendeligt metalemballageaffald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Metalemballageaffald er emballageaffald af metal, der er omfattet af definitionen på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emballage i emballagebekendtgørelsen.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Eksempler på genanvendeligt metal og metalemballage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udenlandske dåser uden pantmærke,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metalkapsler fra øl- og sodavandsflasker,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konservesdåser,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skruer, beslag, småt metal af enhver art.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§13.2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§13.3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 metal herunder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metalemballage.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Ordningen omfatter indsamling af genanvendeligt metal og metalemballagea</w:t>
      </w:r>
      <w:r w:rsidR="00D61296">
        <w:rPr>
          <w:rFonts w:cs="Times New Roman"/>
          <w:sz w:val="24"/>
          <w:szCs w:val="24"/>
        </w:rPr>
        <w:t>f</w:t>
      </w:r>
      <w:r w:rsidRPr="00386F9C">
        <w:rPr>
          <w:rFonts w:cs="Times New Roman"/>
          <w:sz w:val="24"/>
          <w:szCs w:val="24"/>
        </w:rPr>
        <w:t>fald som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beskrevet i § 13.1.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Genanvendeligt metal og metalemballage kan afleveres på genbrugsstationerne eller til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Metalemballagen skal være tømt for indhold og skyllet.</w:t>
      </w:r>
    </w:p>
    <w:p w:rsidR="00D61296" w:rsidRDefault="00D61296" w:rsidP="00D61296">
      <w:pPr>
        <w:pStyle w:val="Overskrift1"/>
      </w:pPr>
    </w:p>
    <w:p w:rsidR="00C61CC4" w:rsidRPr="00386F9C" w:rsidRDefault="00C61CC4" w:rsidP="00D61296">
      <w:pPr>
        <w:pStyle w:val="Overskrift1"/>
      </w:pPr>
      <w:bookmarkStart w:id="7" w:name="_Toc490644555"/>
      <w:r w:rsidRPr="00386F9C">
        <w:t>§14 Ordning for genanvendeligt plastemballageaffald</w:t>
      </w:r>
      <w:bookmarkEnd w:id="7"/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§14.1 Hvad er genanvendeligt plastemballageaffald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Plastemballageaffald er emballageaffald af plast, der er omfattet af definitionen på emballage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i emballagebekendtgørelsen.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Ordningen omfatter al plast.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Tomme plastbeholdere med faremærkningerne (ætsende, brandfarligt eller farligt for miljøet)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dog afleveres til forbrænding (se § 15).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Dunke med rester skal afleveres som farligt affald (se § 18).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§14.2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§14.3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 plast, herunder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plastemballage.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genanvendeligt plast og plastemballage som beskrevet i §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14.1.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Plast og plastemballage kan afleveres på genbrugsstationerne eller til storskraldsordningen.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Plast og plastemballage skal være tømt for indhold og skyllet.</w:t>
      </w:r>
    </w:p>
    <w:p w:rsidR="00D61296" w:rsidRDefault="00D61296" w:rsidP="00D61296">
      <w:pPr>
        <w:pStyle w:val="Overskrift1"/>
      </w:pPr>
    </w:p>
    <w:p w:rsidR="00C61CC4" w:rsidRPr="00386F9C" w:rsidRDefault="00D61296" w:rsidP="00D61296">
      <w:pPr>
        <w:pStyle w:val="Overskrift1"/>
      </w:pPr>
      <w:bookmarkStart w:id="8" w:name="_Toc490644556"/>
      <w:r>
        <w:t>§15 Ordning for genbrugspladse</w:t>
      </w:r>
      <w:r w:rsidR="00C61CC4" w:rsidRPr="00386F9C">
        <w:t>rne</w:t>
      </w:r>
      <w:bookmarkEnd w:id="8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har etableret adgang til genbrugspladser til modtagelse af affald.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§15.1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Genbrugspladserne er forbeholdt borgere, grundejere og virksomheder i Svendborg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Kommune.</w:t>
      </w:r>
    </w:p>
    <w:p w:rsidR="007A232E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§15.2 Adgang til genbrugspladserne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Forud for benyttelse af genbrugspladserne skal borgeren eller grundejeren, hvis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 anmoder om det, dokumentere, at denne er bosiddende i Svendborg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Kommune, hvilket eksempelvis kan ske ved forevisning af sygesikringsbevis el.lign.</w:t>
      </w:r>
    </w:p>
    <w:p w:rsidR="007A232E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§15.3 Sortering på genbrugspladserne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På genbrugsstationerne kan der blandt andet bortskaffes følgende sorterede materialer: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 til specialbehandling: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Kabler</w:t>
      </w:r>
      <w:r w:rsidR="00C61CC4" w:rsidRPr="00386F9C">
        <w:rPr>
          <w:rFonts w:cs="Times New Roman"/>
          <w:sz w:val="24"/>
          <w:szCs w:val="24"/>
        </w:rPr>
        <w:t>, lysstofrør, trykimprægneret træ.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 til genanvendelse: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61CC4" w:rsidRPr="00386F9C">
        <w:rPr>
          <w:rFonts w:cs="Times New Roman"/>
          <w:sz w:val="24"/>
          <w:szCs w:val="24"/>
        </w:rPr>
        <w:t>ap, aviser og papir, jern og metal, tegl- og betonbrokker, hård og blød plast, vinduesglas,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haveaffald, dæk, tøj, glas og flasker, brugsting, kølemøbler/frysere,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elektronikaffald, hvidevarer, trærødder, gips, springmadrasser, keramik, rent træ.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 til forbrænding: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C61CC4" w:rsidRPr="00386F9C">
        <w:rPr>
          <w:rFonts w:cs="Times New Roman"/>
          <w:sz w:val="24"/>
          <w:szCs w:val="24"/>
        </w:rPr>
        <w:t>tort og småt brændbart, flamingo samt dagrenovation (sidstnævnte mod betaling).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lastRenderedPageBreak/>
        <w:t>Affald til deponering: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C61CC4" w:rsidRPr="00386F9C">
        <w:rPr>
          <w:rFonts w:cs="Times New Roman"/>
          <w:sz w:val="24"/>
          <w:szCs w:val="24"/>
        </w:rPr>
        <w:t>sbestaffald, ikke-genanvendeligt PVC, andet affald til deponering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Farligt affald: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C61CC4" w:rsidRPr="00386F9C">
        <w:rPr>
          <w:rFonts w:cs="Times New Roman"/>
          <w:sz w:val="24"/>
          <w:szCs w:val="24"/>
        </w:rPr>
        <w:t>alerrester, gift- og kemikalierester, batterier, akkumulatorer</w:t>
      </w:r>
      <w:r>
        <w:rPr>
          <w:rFonts w:cs="Times New Roman"/>
          <w:sz w:val="24"/>
          <w:szCs w:val="24"/>
        </w:rPr>
        <w:t>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arbejder løbende med at sikre større grad af specialbehandling og genanvendelse,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hvorfor der løbende vil komme nye sorteringer til.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Affaldet skal sorteres efter affaldsfraktioner og placeres i de anviste containere/båse på</w:t>
      </w:r>
      <w:r w:rsidR="007A232E">
        <w:rPr>
          <w:rFonts w:cs="Times New Roman"/>
          <w:sz w:val="24"/>
          <w:szCs w:val="24"/>
        </w:rPr>
        <w:t xml:space="preserve"> genbrugspladserne</w:t>
      </w:r>
      <w:r w:rsidRPr="00386F9C">
        <w:rPr>
          <w:rFonts w:cs="Times New Roman"/>
          <w:sz w:val="24"/>
          <w:szCs w:val="24"/>
        </w:rPr>
        <w:t>. Anvisninger fra pladspersonalet skal følges.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emballering af affald, der afleveres på genbrugspladserne, skal der efter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affaldsbekendtgørelsen anvendes klare plastsække. Dette for at indholdet tydeligt kan ses af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personalet på genbrugspladserne.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Ordensreglementet for genbrugspladserne skal følges.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Større mængder eternittagplader (med og uden asbest) anvises til bortskaffelse ved Klintholm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I/S.</w:t>
      </w:r>
    </w:p>
    <w:p w:rsidR="007A232E" w:rsidRDefault="007A232E" w:rsidP="007A232E">
      <w:pPr>
        <w:pStyle w:val="Overskrift1"/>
      </w:pPr>
    </w:p>
    <w:p w:rsidR="00C61CC4" w:rsidRPr="00386F9C" w:rsidRDefault="00C61CC4" w:rsidP="007A232E">
      <w:pPr>
        <w:pStyle w:val="Overskrift1"/>
      </w:pPr>
      <w:bookmarkStart w:id="9" w:name="_Toc490644557"/>
      <w:r w:rsidRPr="00386F9C">
        <w:t>§16 Ordning for PVC-affald</w:t>
      </w:r>
      <w:bookmarkEnd w:id="9"/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§16.1 Hvad er PVC-affald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PVC-affald omfatter både genanvendeligt og ikke-genanvendeligt PVC.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Ikke-genanvendeligt PVC-affald er blød PVC, eksempelvis: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regntøj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vandslanger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Genanvendeligt PVC er hård PVC, eksempelvis: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kloakrør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tagrender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§16.2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§16.3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dels en bringeordning, hvor PVC-affald kan afleveres på genbrugsstationerne i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Svendborg og Hesselager, og dels en henteordning, hvor hård PVC kan bortskaffes via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storskraldsordningen.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0" w:name="_Toc490644558"/>
      <w:r w:rsidRPr="00386F9C">
        <w:t>§17 Ordning for imprægneret træ</w:t>
      </w:r>
      <w:bookmarkEnd w:id="10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§17.1 Hvad er imprægneret træ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imprægneret træ forstås træ, der er tryk- eller vaku</w:t>
      </w:r>
      <w:r w:rsidR="00625588">
        <w:rPr>
          <w:rFonts w:cs="Times New Roman"/>
          <w:sz w:val="24"/>
          <w:szCs w:val="24"/>
        </w:rPr>
        <w:t>u</w:t>
      </w:r>
      <w:r w:rsidRPr="00386F9C">
        <w:rPr>
          <w:rFonts w:cs="Times New Roman"/>
          <w:sz w:val="24"/>
          <w:szCs w:val="24"/>
        </w:rPr>
        <w:t>mimprægneret, samt træ, der helt eller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delvis er behandlet med træbeskyttelsesmidler for at gøre det modstandsdygtigt over for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svampe og skadedyr.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§17.2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lastRenderedPageBreak/>
        <w:t>§17.3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Imprægneret træ skal udsorteres med henblik på behandling.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bringeordning, hvor trykimprægneret træ kan afleveres på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genbrugsstationerne i Svendborg og i Hesselager.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1" w:name="_Toc490644559"/>
      <w:r w:rsidRPr="00386F9C">
        <w:t>§18 Ordning for farligt affald</w:t>
      </w:r>
      <w:bookmarkEnd w:id="11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§18.1 Hvad er farligt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Farligt affald er affald, som er opført på og markeret som farligt affald i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affaldsbekendtgørelsens bilag om listen over affald (EAK-koder), og som udviser egenskaber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som angivet i affaldsbekendtgørelsens bilag om farligt affald. Som farligt affald anses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endvidere affald, som udviser egenskaber, som er angivet i affaldsbekendtgørelsens bilag </w:t>
      </w:r>
      <w:r w:rsidR="00625588">
        <w:rPr>
          <w:rFonts w:cs="Times New Roman"/>
          <w:sz w:val="24"/>
          <w:szCs w:val="24"/>
        </w:rPr>
        <w:t xml:space="preserve"> o</w:t>
      </w:r>
      <w:r w:rsidRPr="00386F9C">
        <w:rPr>
          <w:rFonts w:cs="Times New Roman"/>
          <w:sz w:val="24"/>
          <w:szCs w:val="24"/>
        </w:rPr>
        <w:t>m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farligt 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Eksempler på farligt affald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olie- og kemikalierester,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fugemasse, terpentin o. lign.,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malingsrester.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bringeordning hvor farligt affald kan afleveres på genbrugsstationerne. Ved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aflevering skal affaldet stilles i containeren til farligt affald – sortering foretages af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personalet.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og Affald har desuden truffet aftaler med handlende i Svendborg om tilbagetagning af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medicinrester (til apotekerne)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sparepærer</w:t>
      </w:r>
      <w:proofErr w:type="spellEnd"/>
      <w:r w:rsidRPr="00386F9C">
        <w:rPr>
          <w:rFonts w:cs="Times New Roman"/>
          <w:sz w:val="24"/>
          <w:szCs w:val="24"/>
        </w:rPr>
        <w:t>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malingsrester m.m..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På www.vandogaffald.dk under emnet "Miljøfarligt affald" kan du se hvilke butikker, der 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i ordningerne.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2" w:name="_Toc490644560"/>
      <w:r w:rsidRPr="00386F9C">
        <w:t>§19 Ordning for affald af elektriske og elektroniske</w:t>
      </w:r>
      <w:r w:rsidR="00625588">
        <w:t xml:space="preserve"> </w:t>
      </w:r>
      <w:r w:rsidRPr="00386F9C">
        <w:t>produkter (WEEE)</w:t>
      </w:r>
      <w:bookmarkEnd w:id="12"/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§19.1 Hvad er WEEE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</w:rPr>
        <w:t>WEEE er affald af elektrisk og elektronisk udstyr, og er defineret i</w:t>
      </w:r>
      <w:r w:rsidR="00625588">
        <w:rPr>
          <w:rFonts w:cs="Times New Roman"/>
          <w:sz w:val="24"/>
          <w:szCs w:val="24"/>
        </w:rPr>
        <w:t xml:space="preserve"> </w:t>
      </w:r>
      <w:r w:rsidRPr="00625588">
        <w:rPr>
          <w:rFonts w:cs="Times New Roman"/>
          <w:sz w:val="24"/>
          <w:szCs w:val="24"/>
        </w:rPr>
        <w:t>elektronikaffalds</w:t>
      </w:r>
      <w:r w:rsidR="00625588">
        <w:rPr>
          <w:rFonts w:cs="Times New Roman"/>
          <w:sz w:val="24"/>
          <w:szCs w:val="24"/>
        </w:rPr>
        <w:t>-</w:t>
      </w:r>
      <w:r w:rsidRPr="00625588">
        <w:rPr>
          <w:rFonts w:cs="Times New Roman"/>
          <w:sz w:val="24"/>
          <w:szCs w:val="24"/>
        </w:rPr>
        <w:t>bekendtgørelsen.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  <w:lang w:val="en-US"/>
        </w:rPr>
        <w:t xml:space="preserve">WEEE </w:t>
      </w:r>
      <w:proofErr w:type="spellStart"/>
      <w:r w:rsidRPr="00386F9C">
        <w:rPr>
          <w:rFonts w:cs="Times New Roman"/>
          <w:sz w:val="24"/>
          <w:szCs w:val="24"/>
          <w:lang w:val="en-US"/>
        </w:rPr>
        <w:t>står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for (W)</w:t>
      </w:r>
      <w:proofErr w:type="spellStart"/>
      <w:r w:rsidRPr="00386F9C">
        <w:rPr>
          <w:rFonts w:cs="Times New Roman"/>
          <w:sz w:val="24"/>
          <w:szCs w:val="24"/>
          <w:lang w:val="en-US"/>
        </w:rPr>
        <w:t>aste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of (E)</w:t>
      </w:r>
      <w:proofErr w:type="spellStart"/>
      <w:r w:rsidRPr="00386F9C">
        <w:rPr>
          <w:rFonts w:cs="Times New Roman"/>
          <w:sz w:val="24"/>
          <w:szCs w:val="24"/>
          <w:lang w:val="en-US"/>
        </w:rPr>
        <w:t>lectric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and (E)</w:t>
      </w:r>
      <w:proofErr w:type="spellStart"/>
      <w:r w:rsidRPr="00386F9C">
        <w:rPr>
          <w:rFonts w:cs="Times New Roman"/>
          <w:sz w:val="24"/>
          <w:szCs w:val="24"/>
          <w:lang w:val="en-US"/>
        </w:rPr>
        <w:t>lectronic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(E)</w:t>
      </w:r>
      <w:proofErr w:type="spellStart"/>
      <w:r w:rsidRPr="00386F9C">
        <w:rPr>
          <w:rFonts w:cs="Times New Roman"/>
          <w:sz w:val="24"/>
          <w:szCs w:val="24"/>
          <w:lang w:val="en-US"/>
        </w:rPr>
        <w:t>quipment</w:t>
      </w:r>
      <w:proofErr w:type="spellEnd"/>
    </w:p>
    <w:p w:rsidR="00625588" w:rsidRP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en-US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Ordningen gælder for sommerhuse, kolonihavehuse m.m. i kommunen.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WEEE skal udsorteres med henblik på genanvendelse og afleveres til den kommunale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WEEE skal udsorteres i følgende fraktioner: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1. Store husholdningsapparater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2. Kølemøbler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3. Små husholdningsapparater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4. Skærme &amp; monitorer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5. Lyskilder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dels en bringeordning, hvor borgere kan aflevere WEEE på genbrugspladserne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og dels en henteordning, hvor borgeren kan bortskaffe WEEE til storskraldsordningen (se §22) og sammen med dagrenovationen(småt elektronik se §9).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Enhver kan aflevere WEEE til forhandlere, der markedsfører sådant udstyr, og som tilbyder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at modtage affaldet.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3" w:name="_Toc490644561"/>
      <w:r w:rsidRPr="00386F9C">
        <w:t>§20 Ordning for bærbare batterier og akkumulatorer</w:t>
      </w:r>
      <w:bookmarkEnd w:id="13"/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§20.1 Hvad er bærbare batterier og akkumulatorer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Bærbare batterier og akkumulatorer er efter batteribekendtgørelsen def</w:t>
      </w:r>
      <w:r w:rsidR="00625588">
        <w:rPr>
          <w:rFonts w:cs="Times New Roman"/>
          <w:sz w:val="24"/>
          <w:szCs w:val="24"/>
        </w:rPr>
        <w:t>ineret</w:t>
      </w:r>
      <w:r w:rsidRPr="00386F9C">
        <w:rPr>
          <w:rFonts w:cs="Times New Roman"/>
          <w:sz w:val="24"/>
          <w:szCs w:val="24"/>
        </w:rPr>
        <w:t xml:space="preserve"> som ethvert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batteri eller knapcellebatteri eller enhver batteripakke eller akkumulator, der er forseglet, kan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være håndholdt, og ikke er et industribatteri eller en industriakkumulator eller et bilbatteri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eller en bilakkumulator.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Poseordning: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Udtjente bærbare batterier og akkumulatorer anbringes af borgeren og grundejeren i poser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ovenpå låget af borgerens og grundejerens beholder til dagrenovation.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Batteribeholderordning: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Udtjente bærbare batterier og akkumulatorer bringes af borgeren og grundejeren til de til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formålet særligt opstillede beholdere og/eller kuber.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Poser med batterier skal være gennemsigtige.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§20.4 Beholdere</w:t>
      </w:r>
    </w:p>
    <w:p w:rsidR="00C61CC4" w:rsidRPr="00386F9C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C61CC4" w:rsidRPr="00386F9C">
        <w:rPr>
          <w:rFonts w:cs="Times New Roman"/>
          <w:sz w:val="24"/>
          <w:szCs w:val="24"/>
        </w:rPr>
        <w:t>ed alle miljøstationerne i kommunen er der opstillet beholdere til indsamling af alle typer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batterier.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Batterier kan endvidere afleveres på genbrugsstationerne.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 xml:space="preserve">Skoler, børneinstitutioner m.v. kan efter aftale med kommunen indsamle batterier fra </w:t>
      </w:r>
      <w:r w:rsidR="00625588">
        <w:rPr>
          <w:rFonts w:cs="Times New Roman"/>
          <w:sz w:val="24"/>
          <w:szCs w:val="24"/>
        </w:rPr>
        <w:t>p</w:t>
      </w:r>
      <w:r w:rsidRPr="00386F9C">
        <w:rPr>
          <w:rFonts w:cs="Times New Roman"/>
          <w:sz w:val="24"/>
          <w:szCs w:val="24"/>
        </w:rPr>
        <w:t>rivate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husholdninger. Vand og Affald betaler et fastsat beløb pr. kilo for de indsamlede batterier.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4" w:name="_Toc490644562"/>
      <w:r w:rsidRPr="00386F9C">
        <w:t>§21 Ordning for bygge- og anlægsaffald</w:t>
      </w:r>
      <w:bookmarkEnd w:id="14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§21.1 Hvad er bygge- og anlægsaffald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 er affald beskrevet ved EAK-kode 17 i affaldsbekendtgørelsens bilag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om listen over affald (EAK-koder).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 skal kildesorteres i nedenstående fraktioner: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Natursten</w:t>
      </w:r>
      <w:proofErr w:type="spellEnd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Uglaseret</w:t>
      </w:r>
      <w:proofErr w:type="spellEnd"/>
      <w:r w:rsidRPr="00386F9C">
        <w:rPr>
          <w:rFonts w:cs="Times New Roman"/>
          <w:sz w:val="24"/>
          <w:szCs w:val="24"/>
        </w:rPr>
        <w:t xml:space="preserve"> tegl (mur- og tagsten)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Beton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Blandinger af de 3 ovenstående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Jern og metal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Gips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Stenuld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Jord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Asfalt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§21.2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byggearbejder i Svendborg Kommune, der forestås af private</w:t>
      </w:r>
      <w:r w:rsidR="00625588">
        <w:rPr>
          <w:rFonts w:cs="Times New Roman"/>
          <w:sz w:val="24"/>
          <w:szCs w:val="24"/>
        </w:rPr>
        <w:t xml:space="preserve"> b</w:t>
      </w:r>
      <w:r w:rsidRPr="00386F9C">
        <w:rPr>
          <w:rFonts w:cs="Times New Roman"/>
          <w:sz w:val="24"/>
          <w:szCs w:val="24"/>
        </w:rPr>
        <w:t>orgere.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§21.3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 skal anmeldes til Svendborg Kommune.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Genanvendelse af bygge- og anlægsaffaldet skal følge affaldsbekendtgørelsen.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Natursten</w:t>
      </w:r>
      <w:proofErr w:type="spellEnd"/>
      <w:r w:rsidRPr="00386F9C">
        <w:rPr>
          <w:rFonts w:cs="Times New Roman"/>
          <w:sz w:val="24"/>
          <w:szCs w:val="24"/>
        </w:rPr>
        <w:t xml:space="preserve">, </w:t>
      </w:r>
      <w:proofErr w:type="spellStart"/>
      <w:r w:rsidRPr="00386F9C">
        <w:rPr>
          <w:rFonts w:cs="Times New Roman"/>
          <w:sz w:val="24"/>
          <w:szCs w:val="24"/>
        </w:rPr>
        <w:t>uglaserede</w:t>
      </w:r>
      <w:proofErr w:type="spellEnd"/>
      <w:r w:rsidRPr="00386F9C">
        <w:rPr>
          <w:rFonts w:cs="Times New Roman"/>
          <w:sz w:val="24"/>
          <w:szCs w:val="24"/>
        </w:rPr>
        <w:t xml:space="preserve"> </w:t>
      </w:r>
      <w:r w:rsidR="00625588" w:rsidRPr="00386F9C">
        <w:rPr>
          <w:rFonts w:cs="Times New Roman"/>
          <w:sz w:val="24"/>
          <w:szCs w:val="24"/>
        </w:rPr>
        <w:t>tegl (</w:t>
      </w:r>
      <w:r w:rsidRPr="00386F9C">
        <w:rPr>
          <w:rFonts w:cs="Times New Roman"/>
          <w:sz w:val="24"/>
          <w:szCs w:val="24"/>
        </w:rPr>
        <w:t>mur- og tagsten) eller ren beton(ikke lecasten, gasbeton eller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anden letbeton) kan genanvendes, som erstatning for primære råstoffer. Der skal sendes en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skitse over placeringen til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anlægsaffaldet kan endvidere bortskaffes via genbrugsstationerne i Svendborg og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Hesselager. Større mængder eternittagplader (med og uden asbest) anvises til bortskaffelse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ved Klintholm I/S.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5" w:name="_Toc490644563"/>
      <w:r w:rsidRPr="00386F9C">
        <w:t>§22 Ordning for storskrald</w:t>
      </w:r>
      <w:bookmarkEnd w:id="15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§22.1 Hvad er storskrald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indsamle affald til specialbehandling og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genanvendelse gennem en kollektiv henteordning til gavn for miljøet.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 storskraldsordningen kan ved regulativets vedtagelse bortskaffes følgende sorterede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materialer: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flasker og husholdningsglas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aviser, ugeblade, tryksager o.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lign.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pap og karton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jern og metal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service og drikkeglas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stort indbo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hårde hvidevarer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haveaffald og grene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hård plast (med genbrugsmærke og uden faresymboler for ætsende, brandfarligt og farligt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 miljøet)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blød plast (folie, </w:t>
      </w:r>
      <w:r w:rsidR="00ED77FA" w:rsidRPr="00386F9C">
        <w:rPr>
          <w:rFonts w:cs="Times New Roman"/>
          <w:sz w:val="24"/>
          <w:szCs w:val="24"/>
        </w:rPr>
        <w:t>plastposer</w:t>
      </w:r>
      <w:r w:rsidRPr="00386F9C">
        <w:rPr>
          <w:rFonts w:cs="Times New Roman"/>
          <w:sz w:val="24"/>
          <w:szCs w:val="24"/>
        </w:rPr>
        <w:t xml:space="preserve"> etc.)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elektronikaffald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tøj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flamingo</w:t>
      </w:r>
    </w:p>
    <w:p w:rsidR="00C61CC4" w:rsidRPr="00386F9C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C61CC4" w:rsidRPr="00386F9C">
        <w:rPr>
          <w:rFonts w:cs="Times New Roman"/>
          <w:sz w:val="24"/>
          <w:szCs w:val="24"/>
        </w:rPr>
        <w:t>e mere i den husstandsomdelte folder eller på www.vandogaffald.dk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enfamiliehuse m.m.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etageejendomme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henteordning.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§22.9 Afhentning af storskrald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Afhentning af storskrald foretages af en vognmand Vand og Affald har lavet aftale med, én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gang hver måned efter en fastlagt ruteplan.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og Affald udarbejder en oversigt over afhentningsdage som omfatter samtlige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helårsboliger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Afhentningsdagen for alle veje findes endvidere på www.vandogaffald.dk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 skal sorteres, bundtes og emballeres, som det fremgår af de vejledninger, som fås ved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henvendelse til Vand og 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Affaldet skal sættes ud til offentlig vej eller privat fællesvej inden kl. 07.00 på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afhentningsdagen. Ejendomme på blinde veje uden vendemulighed skal sætte affaldet frem til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farbar vej / vej med vendemulighed.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Ved etageboliger, værelser og andre samlede bebyggelser uden kørevej til den enkelte bolig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der træffes særlig aftale med ejendommens ejer (administrator, vicevært o.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lign.) om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placering på afmærket plads.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2F6417">
      <w:pPr>
        <w:pStyle w:val="Overskrift1"/>
      </w:pPr>
      <w:bookmarkStart w:id="16" w:name="_Toc490644564"/>
      <w:r w:rsidRPr="00386F9C">
        <w:t>§23 Ordning for hjemmekompostering</w:t>
      </w:r>
      <w:bookmarkEnd w:id="16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2F6417">
      <w:r w:rsidRPr="00386F9C">
        <w:t>§23.1 Hvad er hjemmekompostering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Følgende affaldstyper er eksempler på affald, som med fordel kan hjemmekomposteres: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grøntsager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blomster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potteplanter med klump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frugt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kaffegrums og teblade inkl. filtre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skræller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kerner og nøddeskaller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æggeskaller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andre vegetabilske, ikke tilberedte, madvarer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Madaffald, som kan tiltrække skadedyr, så som fisk, kød m.v., må ikke komposteres, men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afleveres som øvrigt dagrenovationsaffald (restaffald) til forbrænding.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har til formål at øge mængden af affald som hjemmekomposteres i kommunen,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hvorved miljøgevinsten forøges.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Beholdertype og tilbehør (</w:t>
      </w:r>
      <w:proofErr w:type="spellStart"/>
      <w:r w:rsidRPr="00386F9C">
        <w:rPr>
          <w:rFonts w:cs="Times New Roman"/>
          <w:sz w:val="24"/>
          <w:szCs w:val="24"/>
        </w:rPr>
        <w:t>beluftningsstok</w:t>
      </w:r>
      <w:proofErr w:type="spellEnd"/>
      <w:r w:rsidRPr="00386F9C">
        <w:rPr>
          <w:rFonts w:cs="Times New Roman"/>
          <w:sz w:val="24"/>
          <w:szCs w:val="24"/>
        </w:rPr>
        <w:t xml:space="preserve"> m.v.) kan ses på www.vandogaffald.dk. Beholdere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kan købes med tilskud hos Vand og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Alle grundejere kan dog hjemmekompostere i egne beholdere, da der ikke stilles krav fra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kommunen om at anvende et bestemt mærke eller fabrikat af kompostbeholder. Denne kan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således også fremstilles af brugeren selv.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§23.6 Anbringelse af beholdere</w:t>
      </w:r>
    </w:p>
    <w:p w:rsidR="00ED77FA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Hjemmekompostering skal ske på et begrænset område, på en måde så det ikke giver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anledning til ulemper/gener for omgivelserne, herunder ejere og brugere af ejendommen og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eventuelle naboejendomme. Dette opnås ved blandt andet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at placere kompostbeholderen/bunken med omtanke, at sikre tilstrækkelig luft til alle områder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i kompostbunken, og ved at nyligt udlagt affald holdes vedvarende dækket af jord,</w:t>
      </w:r>
      <w:r w:rsidR="00ED77FA">
        <w:rPr>
          <w:rFonts w:cs="Times New Roman"/>
          <w:sz w:val="24"/>
          <w:szCs w:val="24"/>
        </w:rPr>
        <w:t xml:space="preserve"> f</w:t>
      </w:r>
      <w:r w:rsidRPr="00386F9C">
        <w:rPr>
          <w:rFonts w:cs="Times New Roman"/>
          <w:sz w:val="24"/>
          <w:szCs w:val="24"/>
        </w:rPr>
        <w:t>ærdigkomposteret materiale eller lignende.</w:t>
      </w:r>
      <w:r w:rsidR="00ED77FA">
        <w:rPr>
          <w:rFonts w:cs="Times New Roman"/>
          <w:sz w:val="24"/>
          <w:szCs w:val="24"/>
        </w:rPr>
        <w:t xml:space="preserve"> 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Central kompostering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kan give tilladelse til, at boligselskaber, ejerforeninger eller lignende opretter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centrale komposteringspladser. Ansøgning herom skal sendes til kommunen: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Svendborg Kommune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Natur og Klima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Svendborgvej 135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5762 Vester Skerninge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E-mail: keu@svendborg.dk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7" w:name="_Toc490644565"/>
      <w:r w:rsidRPr="00386F9C">
        <w:t>§24 Ordning for haveaffald</w:t>
      </w:r>
      <w:bookmarkEnd w:id="17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§24.1 Hvad er haveaffald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haveaffald forstås alt planteaffald, som er naturligt forekommende i private haver.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§24.2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lastRenderedPageBreak/>
        <w:t>§24.3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bringeordning.</w:t>
      </w:r>
    </w:p>
    <w:p w:rsidR="00ED77FA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Haveaffald skal så vidt muligt komposteres på grundejerens egen ejendom (se endvidere §23). Alternativt kan det bortskaffes til genbrugsstationerne i Svendborg og Hesselager. Det 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dog muligt, efter godkendelse af kommunen, at grundejere går sammen om drift af en central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komposteringsplads fx i forbindelse med en grundejerforening m.v. (se § 23.5)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 xml:space="preserve">I byzone </w:t>
      </w:r>
      <w:r w:rsidRPr="00386F9C">
        <w:rPr>
          <w:rFonts w:cs="Times New Roman"/>
          <w:sz w:val="24"/>
          <w:szCs w:val="24"/>
        </w:rPr>
        <w:t>må der kun afbrændes rent og tørt haveaffald Sankt Hans aften. Der må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dog brændes rent tørt træ på dertil indrettede bålpladser hele året.</w:t>
      </w:r>
    </w:p>
    <w:p w:rsidR="00ED77FA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 xml:space="preserve">I landzone </w:t>
      </w:r>
      <w:r w:rsidRPr="00386F9C">
        <w:rPr>
          <w:rFonts w:cs="Times New Roman"/>
          <w:sz w:val="24"/>
          <w:szCs w:val="24"/>
        </w:rPr>
        <w:t>må der endvidere afbrændes haveaffald i perioden 1. december - 1. marts.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Afbrændingen må ikke være til gene for naboer, trafik mv. og afbrændingen skal overholde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den, til en hver tid gældende, bekendtgørelse om brandværnsforanstaltninger omhandlende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eventuelle afstandskrav og krav til den maksimale mængde af affald.</w:t>
      </w:r>
      <w:r w:rsidR="00ED77FA">
        <w:rPr>
          <w:rFonts w:cs="Times New Roman"/>
          <w:sz w:val="24"/>
          <w:szCs w:val="24"/>
        </w:rPr>
        <w:t xml:space="preserve"> 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8" w:name="_Toc490644566"/>
      <w:r w:rsidRPr="00386F9C">
        <w:t>§25 Ordning for bortskaffelse af større mængder affald(anvisningsordning)</w:t>
      </w:r>
      <w:bookmarkEnd w:id="18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§25.1 Hvad er bortskaffelse af større mængder affald (anvisningsordning)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Større mængder affald omfatter alle affaldstyper, som på grund af den store mængde ikke kan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afleveres på genbrugsstationerne eller til en af de øvrige ordninger for affald fra private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husholdninger.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§25.2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§25.3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har til formål at sikre miljømæssig korrekt bortskaffelse af større mængder affald,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som ikke kan bortskaffes gennem de i regulativet beskrevne ordninger.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Affald, som anvises via denne ordning, skal bortskaffes ved borgerens egen foranstaltning og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regning ved indgåelse af aftale om aflevering gennem en godkendt transportør eller direkte til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et modtageanlæg. Borgeren er ansvarlig for, at affaldet er bortskaffet i henhold til gældende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lovgivning og med konkret anvisning fra kommunen og skal såfremt kommunen ønsker det,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kunne dokumentere dette.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9" w:name="_Toc490644567"/>
      <w:r w:rsidRPr="00386F9C">
        <w:t>§26 Ordning for tøj og sko</w:t>
      </w:r>
      <w:bookmarkEnd w:id="19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§26.1 Hvad er tøj og sko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 indsamlingsordningen kan bortskaffes følgende materialer: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alle former for tøj (jakker, bukser, trøjer og lignende)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alle former for fodtøj (sandaler, tennissko, støvler og lignende)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andre former for tøj og stof (gardiner, sengetøj, håndklæder og lignende)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lastRenderedPageBreak/>
        <w:t>§26.2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indsamle tøj og sko til i første række direkte genbrug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herefter til brug som klude/tvist m.v. til gavn for miljøet.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 skal ved aflevering være emballeret i sække som gør den efterfølgende håndtering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lettere.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§26.4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udarbejder en oversigt over opstillede containere som kan give borgerne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mulighed for, at finde den nærmeste container. Denne oversigt kan også findes på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www.vandogaffald.dk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20" w:name="_Toc490644568"/>
      <w:r w:rsidRPr="00386F9C">
        <w:t xml:space="preserve">§27 Ordning for </w:t>
      </w:r>
      <w:proofErr w:type="spellStart"/>
      <w:r w:rsidRPr="00386F9C">
        <w:t>PCB-holdigt</w:t>
      </w:r>
      <w:proofErr w:type="spellEnd"/>
      <w:r w:rsidRPr="00386F9C">
        <w:t xml:space="preserve"> affald</w:t>
      </w:r>
      <w:bookmarkEnd w:id="20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 xml:space="preserve">§27.1 Hvad er </w:t>
      </w:r>
      <w:proofErr w:type="spellStart"/>
      <w:r w:rsidRPr="00386F9C">
        <w:rPr>
          <w:rFonts w:cs="Times New Roman,Bold"/>
          <w:b/>
          <w:bCs/>
          <w:sz w:val="24"/>
          <w:szCs w:val="24"/>
        </w:rPr>
        <w:t>PCB-holdigt</w:t>
      </w:r>
      <w:proofErr w:type="spellEnd"/>
      <w:r w:rsidRPr="00386F9C">
        <w:rPr>
          <w:rFonts w:cs="Times New Roman,Bold"/>
          <w:b/>
          <w:bCs/>
          <w:sz w:val="24"/>
          <w:szCs w:val="24"/>
        </w:rPr>
        <w:t xml:space="preserve">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PCB-holdigt</w:t>
      </w:r>
      <w:proofErr w:type="spellEnd"/>
      <w:r w:rsidRPr="00386F9C">
        <w:rPr>
          <w:rFonts w:cs="Times New Roman"/>
          <w:sz w:val="24"/>
          <w:szCs w:val="24"/>
        </w:rPr>
        <w:t xml:space="preserve"> affald er affald, der indeholder polykloreret </w:t>
      </w:r>
      <w:proofErr w:type="spellStart"/>
      <w:r w:rsidRPr="00386F9C">
        <w:rPr>
          <w:rFonts w:cs="Times New Roman"/>
          <w:sz w:val="24"/>
          <w:szCs w:val="24"/>
        </w:rPr>
        <w:t>biphenyl</w:t>
      </w:r>
      <w:proofErr w:type="spellEnd"/>
      <w:r w:rsidRPr="00386F9C">
        <w:rPr>
          <w:rFonts w:cs="Times New Roman"/>
          <w:sz w:val="24"/>
          <w:szCs w:val="24"/>
        </w:rPr>
        <w:t xml:space="preserve"> (PCB) i koncentrationer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over 0,1 mg./kg., eksempelvis: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fugemasse/lim,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termovinduer fra før 1977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maling fra før 1977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gulvmasse fra før 1977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kondensatorer til lysstofrør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PCB-holdigt</w:t>
      </w:r>
      <w:proofErr w:type="spellEnd"/>
      <w:r w:rsidRPr="00386F9C">
        <w:rPr>
          <w:rFonts w:cs="Times New Roman"/>
          <w:sz w:val="24"/>
          <w:szCs w:val="24"/>
        </w:rPr>
        <w:t xml:space="preserve"> affald findes i byggerier, der er opført og/eller renoveret i perioden 1950-1977.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PCB-holdig</w:t>
      </w:r>
      <w:proofErr w:type="spellEnd"/>
      <w:r w:rsidRPr="00386F9C">
        <w:rPr>
          <w:rFonts w:cs="Times New Roman"/>
          <w:sz w:val="24"/>
          <w:szCs w:val="24"/>
        </w:rPr>
        <w:t xml:space="preserve"> fugemasse er blandt andet blevet brugt omkring døre, vinduer og andre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samlinger. Der er desuden brugt PCB i den lim der bruges ved fremstilling af termoruder, i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maling, gulvmasser og andre klæbestoffer.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PCB i kondensatorer kan optræde helt frem til sidst i 1980erne.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§27.2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§27.3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Ordningen er en anvisningsordning, hvor </w:t>
      </w:r>
      <w:proofErr w:type="spellStart"/>
      <w:r w:rsidRPr="00386F9C">
        <w:rPr>
          <w:rFonts w:cs="Times New Roman"/>
          <w:sz w:val="24"/>
          <w:szCs w:val="24"/>
        </w:rPr>
        <w:t>PCB-holdigt</w:t>
      </w:r>
      <w:proofErr w:type="spellEnd"/>
      <w:r w:rsidRPr="00386F9C">
        <w:rPr>
          <w:rFonts w:cs="Times New Roman"/>
          <w:sz w:val="24"/>
          <w:szCs w:val="24"/>
        </w:rPr>
        <w:t xml:space="preserve"> affald anvises afhængigt af indholdet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 PCB.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Kontakt kommunen INDEN en renovering/nedrivning hvor der kunne indgå PCB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påbegyndes.</w:t>
      </w:r>
    </w:p>
    <w:p w:rsidR="00ED77FA" w:rsidRDefault="00ED77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Information til kommuner om kontaktperson: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Navn: Annette Jørgensen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E-mail: annette.jorgensen@svendborg.dk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Tlf. nr.: 62 23 34 23</w:t>
      </w:r>
    </w:p>
    <w:p w:rsidR="005B6CB1" w:rsidRPr="00386F9C" w:rsidRDefault="00C61CC4" w:rsidP="00ED77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Regulativet er vedtaget d. 20-12-2016 og er trådt i kraft d. 24-01-2017</w:t>
      </w:r>
    </w:p>
    <w:sectPr w:rsidR="005B6CB1" w:rsidRPr="00386F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C6" w:rsidRDefault="00AA54C6" w:rsidP="00386F9C">
      <w:pPr>
        <w:spacing w:after="0" w:line="240" w:lineRule="auto"/>
      </w:pPr>
      <w:r>
        <w:separator/>
      </w:r>
    </w:p>
  </w:endnote>
  <w:endnote w:type="continuationSeparator" w:id="0">
    <w:p w:rsidR="00AA54C6" w:rsidRDefault="00AA54C6" w:rsidP="003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6" w:rsidRPr="00386F9C" w:rsidRDefault="00AA54C6" w:rsidP="00386F9C">
    <w:pPr>
      <w:autoSpaceDE w:val="0"/>
      <w:autoSpaceDN w:val="0"/>
      <w:adjustRightInd w:val="0"/>
      <w:spacing w:after="0" w:line="240" w:lineRule="auto"/>
      <w:rPr>
        <w:rFonts w:cs="Times New Roman"/>
      </w:rPr>
    </w:pPr>
    <w:r w:rsidRPr="00386F9C">
      <w:rPr>
        <w:rFonts w:cs="Times New Roman"/>
      </w:rPr>
      <w:t>Gældende fra d. 24-01-2017</w:t>
    </w:r>
    <w:r w:rsidR="00C70BBB">
      <w:rPr>
        <w:rFonts w:cs="Times New Roman"/>
      </w:rPr>
      <w:tab/>
    </w:r>
    <w:r w:rsidR="00C70BBB">
      <w:rPr>
        <w:rFonts w:cs="Times New Roman"/>
      </w:rPr>
      <w:tab/>
    </w:r>
    <w:r w:rsidR="00C70BBB">
      <w:rPr>
        <w:rFonts w:cs="Times New Roman"/>
      </w:rPr>
      <w:tab/>
    </w:r>
    <w:r w:rsidR="00C70BBB">
      <w:rPr>
        <w:rFonts w:cs="Times New Roman"/>
      </w:rPr>
      <w:tab/>
      <w:t xml:space="preserve">Side </w:t>
    </w:r>
    <w:r w:rsidR="00C70BBB" w:rsidRPr="00C70BBB">
      <w:rPr>
        <w:rFonts w:cs="Times New Roman"/>
      </w:rPr>
      <w:fldChar w:fldCharType="begin"/>
    </w:r>
    <w:r w:rsidR="00C70BBB" w:rsidRPr="00C70BBB">
      <w:rPr>
        <w:rFonts w:cs="Times New Roman"/>
      </w:rPr>
      <w:instrText>PAGE   \* MERGEFORMAT</w:instrText>
    </w:r>
    <w:r w:rsidR="00C70BBB" w:rsidRPr="00C70BBB">
      <w:rPr>
        <w:rFonts w:cs="Times New Roman"/>
      </w:rPr>
      <w:fldChar w:fldCharType="separate"/>
    </w:r>
    <w:r w:rsidR="002F6417">
      <w:rPr>
        <w:rFonts w:cs="Times New Roman"/>
        <w:noProof/>
      </w:rPr>
      <w:t>2</w:t>
    </w:r>
    <w:r w:rsidR="00C70BBB" w:rsidRPr="00C70BBB">
      <w:rPr>
        <w:rFonts w:cs="Times New Roman"/>
      </w:rPr>
      <w:fldChar w:fldCharType="end"/>
    </w:r>
  </w:p>
  <w:p w:rsidR="00AA54C6" w:rsidRDefault="00AA54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C6" w:rsidRDefault="00AA54C6" w:rsidP="00386F9C">
      <w:pPr>
        <w:spacing w:after="0" w:line="240" w:lineRule="auto"/>
      </w:pPr>
      <w:r>
        <w:separator/>
      </w:r>
    </w:p>
  </w:footnote>
  <w:footnote w:type="continuationSeparator" w:id="0">
    <w:p w:rsidR="00AA54C6" w:rsidRDefault="00AA54C6" w:rsidP="0038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C4"/>
    <w:rsid w:val="001C163B"/>
    <w:rsid w:val="002F6417"/>
    <w:rsid w:val="00327F16"/>
    <w:rsid w:val="00386F9C"/>
    <w:rsid w:val="004F3E6D"/>
    <w:rsid w:val="005B6CB1"/>
    <w:rsid w:val="00625588"/>
    <w:rsid w:val="00690958"/>
    <w:rsid w:val="007A232E"/>
    <w:rsid w:val="009C7E91"/>
    <w:rsid w:val="00A80578"/>
    <w:rsid w:val="00AA54C6"/>
    <w:rsid w:val="00C61CC4"/>
    <w:rsid w:val="00C70BBB"/>
    <w:rsid w:val="00D61296"/>
    <w:rsid w:val="00E93E42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72FF-0BA4-4B71-9847-3D1D567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6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6F9C"/>
  </w:style>
  <w:style w:type="paragraph" w:styleId="Sidefod">
    <w:name w:val="footer"/>
    <w:basedOn w:val="Normal"/>
    <w:link w:val="SidefodTegn"/>
    <w:uiPriority w:val="99"/>
    <w:unhideWhenUsed/>
    <w:rsid w:val="0038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6F9C"/>
  </w:style>
  <w:style w:type="character" w:customStyle="1" w:styleId="Overskrift1Tegn">
    <w:name w:val="Overskrift 1 Tegn"/>
    <w:basedOn w:val="Standardskrifttypeiafsnit"/>
    <w:link w:val="Overskrift1"/>
    <w:uiPriority w:val="9"/>
    <w:rsid w:val="00386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70BB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C7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30E9-AE00-43A0-94A7-680B26CC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5005</Words>
  <Characters>30536</Characters>
  <Application>Microsoft Office Word</Application>
  <DocSecurity>0</DocSecurity>
  <Lines>254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Jørgensen</dc:creator>
  <cp:keywords/>
  <dc:description/>
  <cp:lastModifiedBy>Annette Jørgensen</cp:lastModifiedBy>
  <cp:revision>15</cp:revision>
  <dcterms:created xsi:type="dcterms:W3CDTF">2017-01-23T14:00:00Z</dcterms:created>
  <dcterms:modified xsi:type="dcterms:W3CDTF">2017-08-16T09:00:00Z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{F082CC1F-CEDD-4679-A3D5-C7703474D851}</vt:lpwstr>
  </property>
</Properties>
</file>