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31" w:rsidRPr="00C75540" w:rsidRDefault="007D6931" w:rsidP="001661EF">
      <w:pPr>
        <w:framePr w:w="2695" w:h="13069" w:hRule="exact" w:hSpace="181" w:wrap="around" w:vAnchor="text" w:hAnchor="page" w:x="8158" w:y="188" w:anchorLock="1"/>
        <w:suppressOverlap/>
        <w:rPr>
          <w:b/>
        </w:rPr>
      </w:pPr>
    </w:p>
    <w:p w:rsidR="007D6931" w:rsidRPr="00C75540" w:rsidRDefault="007D6931" w:rsidP="001661EF">
      <w:pPr>
        <w:framePr w:w="2695" w:h="13069" w:hRule="exact" w:hSpace="181" w:wrap="around" w:vAnchor="text" w:hAnchor="page" w:x="8158" w:y="188" w:anchorLock="1"/>
        <w:suppressOverlap/>
        <w:rPr>
          <w:b/>
        </w:rPr>
      </w:pPr>
      <w:r w:rsidRPr="00C75540">
        <w:rPr>
          <w:b/>
        </w:rPr>
        <w:t>Svendborg Kommune</w:t>
      </w:r>
    </w:p>
    <w:p w:rsidR="007D6931" w:rsidRPr="00C75540" w:rsidRDefault="007D6931" w:rsidP="001661EF">
      <w:pPr>
        <w:framePr w:w="2695" w:h="13069" w:hRule="exact" w:hSpace="181" w:wrap="around" w:vAnchor="text" w:hAnchor="page" w:x="8158" w:y="188" w:anchorLock="1"/>
        <w:suppressOverlap/>
      </w:pPr>
      <w:r w:rsidRPr="00C75540">
        <w:t>Social og Sundhed</w:t>
      </w:r>
    </w:p>
    <w:p w:rsidR="007D6931" w:rsidRPr="00C75540" w:rsidRDefault="007D6931" w:rsidP="001661EF">
      <w:pPr>
        <w:framePr w:w="2695" w:h="13069" w:hRule="exact" w:hSpace="181" w:wrap="around" w:vAnchor="text" w:hAnchor="page" w:x="8158" w:y="188" w:anchorLock="1"/>
        <w:suppressOverlap/>
      </w:pPr>
      <w:r w:rsidRPr="00C75540">
        <w:t>Svinget 14</w:t>
      </w:r>
    </w:p>
    <w:p w:rsidR="007D6931" w:rsidRPr="00C75540" w:rsidRDefault="007D6931" w:rsidP="001661EF">
      <w:pPr>
        <w:framePr w:w="2695" w:h="13069" w:hRule="exact" w:hSpace="181" w:wrap="around" w:vAnchor="text" w:hAnchor="page" w:x="8158" w:y="188" w:anchorLock="1"/>
        <w:suppressOverlap/>
      </w:pPr>
      <w:r w:rsidRPr="00C75540">
        <w:t>5700 Svendborg</w:t>
      </w:r>
    </w:p>
    <w:p w:rsidR="007D6931" w:rsidRPr="00C75540" w:rsidRDefault="007D6931" w:rsidP="001661EF">
      <w:pPr>
        <w:framePr w:w="2695" w:h="13069" w:hRule="exact" w:hSpace="181" w:wrap="around" w:vAnchor="text" w:hAnchor="page" w:x="8158" w:y="188" w:anchorLock="1"/>
        <w:suppressOverlap/>
      </w:pPr>
    </w:p>
    <w:p w:rsidR="007D6931" w:rsidRPr="00C75540" w:rsidRDefault="007D6931" w:rsidP="001661EF">
      <w:pPr>
        <w:framePr w:w="2695" w:h="13069" w:hRule="exact" w:hSpace="181" w:wrap="around" w:vAnchor="text" w:hAnchor="page" w:x="8158" w:y="188" w:anchorLock="1"/>
        <w:suppressOverlap/>
      </w:pPr>
      <w:r w:rsidRPr="00C75540">
        <w:t>Tlf. 62 23 30 00</w:t>
      </w:r>
    </w:p>
    <w:p w:rsidR="007D6931" w:rsidRPr="00C75540" w:rsidRDefault="007D6931" w:rsidP="001661EF">
      <w:pPr>
        <w:framePr w:w="2695" w:h="13069" w:hRule="exact" w:hSpace="181" w:wrap="around" w:vAnchor="text" w:hAnchor="page" w:x="8158" w:y="188" w:anchorLock="1"/>
        <w:suppressOverlap/>
      </w:pPr>
      <w:r w:rsidRPr="00C75540">
        <w:t>Fax. 62 22 99 79</w:t>
      </w:r>
    </w:p>
    <w:p w:rsidR="007D6931" w:rsidRPr="00C75540" w:rsidRDefault="007D6931" w:rsidP="001661EF">
      <w:pPr>
        <w:framePr w:w="2695" w:h="13069" w:hRule="exact" w:hSpace="181" w:wrap="around" w:vAnchor="text" w:hAnchor="page" w:x="8158" w:y="188" w:anchorLock="1"/>
        <w:suppressOverlap/>
        <w:rPr>
          <w:em w:val="comma"/>
        </w:rPr>
      </w:pPr>
    </w:p>
    <w:p w:rsidR="007D6931" w:rsidRPr="00C75540" w:rsidRDefault="007D6931" w:rsidP="001661EF">
      <w:pPr>
        <w:framePr w:w="2695" w:h="13069" w:hRule="exact" w:hSpace="181" w:wrap="around" w:vAnchor="text" w:hAnchor="page" w:x="8158" w:y="188" w:anchorLock="1"/>
        <w:suppressOverlap/>
      </w:pPr>
      <w:r w:rsidRPr="00C75540">
        <w:t>www.svendborg.dk</w:t>
      </w:r>
    </w:p>
    <w:p w:rsidR="007D6931" w:rsidRPr="00C75540" w:rsidRDefault="007D6931" w:rsidP="001661EF">
      <w:pPr>
        <w:framePr w:w="2695" w:h="13069" w:hRule="exact" w:hSpace="181" w:wrap="around" w:vAnchor="text" w:hAnchor="page" w:x="8158" w:y="188" w:anchorLock="1"/>
        <w:suppressOverlap/>
      </w:pPr>
    </w:p>
    <w:p w:rsidR="007D6931" w:rsidRDefault="007D6931" w:rsidP="001661EF">
      <w:pPr>
        <w:framePr w:w="2695" w:h="13069" w:hRule="exact" w:hSpace="181" w:wrap="around" w:vAnchor="text" w:hAnchor="page" w:x="8158" w:y="188" w:anchorLock="1"/>
        <w:suppressOverlap/>
        <w:rPr>
          <w:sz w:val="16"/>
          <w:szCs w:val="16"/>
        </w:rPr>
      </w:pPr>
      <w:r>
        <w:rPr>
          <w:sz w:val="16"/>
          <w:szCs w:val="16"/>
        </w:rPr>
        <w:t>Mette Hviid Boris</w:t>
      </w:r>
    </w:p>
    <w:p w:rsidR="007D6931" w:rsidRDefault="007D6931" w:rsidP="001661EF">
      <w:pPr>
        <w:framePr w:w="2695" w:h="13069" w:hRule="exact" w:hSpace="181" w:wrap="around" w:vAnchor="text" w:hAnchor="page" w:x="8158" w:y="188" w:anchorLock="1"/>
        <w:suppressOverlap/>
        <w:rPr>
          <w:sz w:val="16"/>
          <w:szCs w:val="16"/>
        </w:rPr>
      </w:pPr>
      <w:r>
        <w:rPr>
          <w:sz w:val="16"/>
          <w:szCs w:val="16"/>
        </w:rPr>
        <w:t>Faglig konsulent</w:t>
      </w:r>
    </w:p>
    <w:p w:rsidR="007D6931" w:rsidRDefault="00731AEE" w:rsidP="001661EF">
      <w:pPr>
        <w:framePr w:w="2695" w:h="13069" w:hRule="exact" w:hSpace="181" w:wrap="around" w:vAnchor="text" w:hAnchor="page" w:x="8158" w:y="188" w:anchorLock="1"/>
        <w:suppressOverlap/>
        <w:rPr>
          <w:sz w:val="16"/>
          <w:szCs w:val="16"/>
        </w:rPr>
      </w:pPr>
      <w:hyperlink r:id="rId7" w:history="1">
        <w:r w:rsidR="007D6931" w:rsidRPr="00AD0C68">
          <w:rPr>
            <w:rStyle w:val="Hyperlink"/>
            <w:sz w:val="16"/>
            <w:szCs w:val="16"/>
          </w:rPr>
          <w:t>Mette.hviid.boris@svendborg.dk</w:t>
        </w:r>
      </w:hyperlink>
    </w:p>
    <w:p w:rsidR="007D6931" w:rsidRDefault="007D6931" w:rsidP="001661EF">
      <w:pPr>
        <w:framePr w:w="2695" w:h="13069" w:hRule="exact" w:hSpace="181" w:wrap="around" w:vAnchor="text" w:hAnchor="page" w:x="8158" w:y="188" w:anchorLock="1"/>
        <w:suppressOverlap/>
        <w:rPr>
          <w:sz w:val="16"/>
          <w:szCs w:val="16"/>
        </w:rPr>
      </w:pPr>
    </w:p>
    <w:p w:rsidR="007D6931" w:rsidRPr="00C75540" w:rsidRDefault="007D6931" w:rsidP="001661EF">
      <w:pPr>
        <w:framePr w:w="2695" w:h="13069" w:hRule="exact" w:hSpace="181" w:wrap="around" w:vAnchor="text" w:hAnchor="page" w:x="8158" w:y="188" w:anchorLock="1"/>
        <w:suppressOverlap/>
        <w:rPr>
          <w:sz w:val="16"/>
          <w:szCs w:val="16"/>
        </w:rPr>
      </w:pPr>
      <w:r w:rsidRPr="00C75540">
        <w:rPr>
          <w:sz w:val="16"/>
          <w:szCs w:val="16"/>
        </w:rPr>
        <w:t xml:space="preserve">Svendborg, d. </w:t>
      </w:r>
      <w:r>
        <w:rPr>
          <w:sz w:val="16"/>
          <w:szCs w:val="16"/>
        </w:rPr>
        <w:t>3. november 2011</w:t>
      </w:r>
    </w:p>
    <w:p w:rsidR="007D6931" w:rsidRPr="00D00402" w:rsidRDefault="007D6931" w:rsidP="001661EF">
      <w:pPr>
        <w:framePr w:w="2695" w:h="13069" w:hRule="exact" w:hSpace="181" w:wrap="around" w:vAnchor="text" w:hAnchor="page" w:x="8158" w:y="188" w:anchorLock="1"/>
        <w:suppressOverlap/>
        <w:rPr>
          <w:sz w:val="14"/>
          <w:szCs w:val="14"/>
        </w:rPr>
      </w:pPr>
    </w:p>
    <w:p w:rsidR="007D6931" w:rsidRDefault="007D6931" w:rsidP="003B4A46">
      <w:pPr>
        <w:rPr>
          <w:b/>
          <w:sz w:val="28"/>
          <w:szCs w:val="28"/>
        </w:rPr>
      </w:pPr>
      <w:r>
        <w:rPr>
          <w:b/>
          <w:sz w:val="28"/>
          <w:szCs w:val="28"/>
        </w:rPr>
        <w:t xml:space="preserve">Tilsynspolitik Hjemmeplejen </w:t>
      </w:r>
    </w:p>
    <w:p w:rsidR="007D6931" w:rsidRDefault="007D6931" w:rsidP="003B4A46">
      <w:pPr>
        <w:rPr>
          <w:b/>
        </w:rPr>
      </w:pPr>
      <w:r>
        <w:rPr>
          <w:b/>
          <w:sz w:val="28"/>
          <w:szCs w:val="28"/>
        </w:rPr>
        <w:t>Svendborg Kommune</w:t>
      </w:r>
    </w:p>
    <w:p w:rsidR="007D6931" w:rsidRDefault="007D6931" w:rsidP="003B4A46">
      <w:pPr>
        <w:rPr>
          <w:b/>
        </w:rPr>
      </w:pPr>
    </w:p>
    <w:p w:rsidR="007D6931" w:rsidRDefault="007D6931" w:rsidP="003B4A46">
      <w:pPr>
        <w:rPr>
          <w:b/>
        </w:rPr>
      </w:pPr>
    </w:p>
    <w:p w:rsidR="007D6931" w:rsidRPr="00D57299" w:rsidRDefault="007D6931" w:rsidP="003B4A46">
      <w:pPr>
        <w:rPr>
          <w:b/>
          <w:sz w:val="24"/>
          <w:szCs w:val="24"/>
        </w:rPr>
      </w:pPr>
      <w:r w:rsidRPr="00D57299">
        <w:rPr>
          <w:b/>
          <w:sz w:val="24"/>
          <w:szCs w:val="24"/>
        </w:rPr>
        <w:t>Baggrund</w:t>
      </w:r>
    </w:p>
    <w:p w:rsidR="007D6931" w:rsidRDefault="007D6931" w:rsidP="00F035AE">
      <w:pPr>
        <w:rPr>
          <w:rFonts w:cs="Verdana"/>
        </w:rPr>
      </w:pPr>
      <w:r>
        <w:rPr>
          <w:rFonts w:cs="Verdana"/>
        </w:rPr>
        <w:t xml:space="preserve">Kommunalbestyrelsen i Svendborg Kommune skal ifølge </w:t>
      </w:r>
      <w:r>
        <w:t>vedtaget ændring af lov om social service, u</w:t>
      </w:r>
      <w:r>
        <w:rPr>
          <w:rFonts w:cs="Verdana"/>
        </w:rPr>
        <w:t>darbejde og offentliggøre en tilsynspolitik for tilbud efter § 83, som er omfattet af reglerne om frit valg af leverandør § 91. Det vil sige i forhold til hjemmeplejen.</w:t>
      </w:r>
    </w:p>
    <w:p w:rsidR="007D6931" w:rsidRDefault="007D6931" w:rsidP="003B4A46">
      <w:pPr>
        <w:autoSpaceDE w:val="0"/>
        <w:autoSpaceDN w:val="0"/>
        <w:adjustRightInd w:val="0"/>
        <w:rPr>
          <w:rFonts w:cs="Verdana"/>
        </w:rPr>
      </w:pPr>
    </w:p>
    <w:p w:rsidR="007D6931" w:rsidRDefault="007D6931" w:rsidP="003B4A46">
      <w:pPr>
        <w:autoSpaceDE w:val="0"/>
        <w:autoSpaceDN w:val="0"/>
        <w:adjustRightInd w:val="0"/>
        <w:rPr>
          <w:rFonts w:cs="Verdana"/>
        </w:rPr>
      </w:pPr>
      <w:r>
        <w:rPr>
          <w:rFonts w:cs="Verdana"/>
        </w:rPr>
        <w:t xml:space="preserve">Tilsynspolitikken skal indeholde kommunens procedurer for: </w:t>
      </w:r>
    </w:p>
    <w:p w:rsidR="007D6931" w:rsidRDefault="007D6931" w:rsidP="003B4A46">
      <w:pPr>
        <w:autoSpaceDE w:val="0"/>
        <w:autoSpaceDN w:val="0"/>
        <w:adjustRightInd w:val="0"/>
        <w:rPr>
          <w:rFonts w:cs="Verdana"/>
        </w:rPr>
      </w:pPr>
    </w:p>
    <w:p w:rsidR="007D6931" w:rsidRDefault="007D6931" w:rsidP="00F035AE">
      <w:pPr>
        <w:pStyle w:val="Listeafsnit"/>
        <w:numPr>
          <w:ilvl w:val="0"/>
          <w:numId w:val="21"/>
        </w:numPr>
        <w:autoSpaceDE w:val="0"/>
        <w:autoSpaceDN w:val="0"/>
        <w:adjustRightInd w:val="0"/>
        <w:rPr>
          <w:rFonts w:cs="Verdana"/>
        </w:rPr>
      </w:pPr>
      <w:r w:rsidRPr="00F035AE">
        <w:rPr>
          <w:rFonts w:cs="Verdana"/>
        </w:rPr>
        <w:t xml:space="preserve">udførelse af tilsyn med disse tilbud </w:t>
      </w:r>
    </w:p>
    <w:p w:rsidR="007D6931" w:rsidRDefault="007D6931" w:rsidP="00F035AE">
      <w:pPr>
        <w:pStyle w:val="Listeafsnit"/>
        <w:numPr>
          <w:ilvl w:val="0"/>
          <w:numId w:val="21"/>
        </w:numPr>
        <w:autoSpaceDE w:val="0"/>
        <w:autoSpaceDN w:val="0"/>
        <w:adjustRightInd w:val="0"/>
        <w:rPr>
          <w:rFonts w:cs="Verdana"/>
        </w:rPr>
      </w:pPr>
      <w:r w:rsidRPr="00F035AE">
        <w:rPr>
          <w:rFonts w:cs="Verdana"/>
        </w:rPr>
        <w:t>opfølgning på tilsynet</w:t>
      </w:r>
    </w:p>
    <w:p w:rsidR="007D6931" w:rsidRPr="00F035AE" w:rsidRDefault="007D6931" w:rsidP="00F035AE">
      <w:pPr>
        <w:pStyle w:val="Listeafsnit"/>
        <w:numPr>
          <w:ilvl w:val="0"/>
          <w:numId w:val="21"/>
        </w:numPr>
        <w:autoSpaceDE w:val="0"/>
        <w:autoSpaceDN w:val="0"/>
        <w:adjustRightInd w:val="0"/>
        <w:rPr>
          <w:rFonts w:cs="Verdana"/>
        </w:rPr>
      </w:pPr>
      <w:r>
        <w:rPr>
          <w:rFonts w:cs="Verdana"/>
        </w:rPr>
        <w:t>offentliggørelse af tilsynspolitik</w:t>
      </w:r>
    </w:p>
    <w:p w:rsidR="007D6931" w:rsidRDefault="007D6931" w:rsidP="003B4A46">
      <w:pPr>
        <w:autoSpaceDE w:val="0"/>
        <w:autoSpaceDN w:val="0"/>
        <w:adjustRightInd w:val="0"/>
        <w:rPr>
          <w:rFonts w:cs="Verdana"/>
        </w:rPr>
      </w:pPr>
    </w:p>
    <w:p w:rsidR="007D6931" w:rsidRDefault="007D6931" w:rsidP="003B4A46">
      <w:pPr>
        <w:autoSpaceDE w:val="0"/>
        <w:autoSpaceDN w:val="0"/>
        <w:adjustRightInd w:val="0"/>
        <w:rPr>
          <w:rFonts w:cs="Verdana"/>
        </w:rPr>
      </w:pPr>
      <w:r>
        <w:rPr>
          <w:rFonts w:cs="Verdana"/>
        </w:rPr>
        <w:t>Kommunalbestyrelsen skal i tilslutning til beslutninger om serviceniveauet for tilbud efter § 83 og om udarbejdelse af kvalitetsstandarder efter § 139 mindst én gang årligt følge op på tilsynspolitikken, herunder foretage de nødvendige justeringer.</w:t>
      </w:r>
    </w:p>
    <w:p w:rsidR="007D6931" w:rsidRDefault="007D6931" w:rsidP="003B4A46">
      <w:pPr>
        <w:autoSpaceDE w:val="0"/>
        <w:autoSpaceDN w:val="0"/>
        <w:adjustRightInd w:val="0"/>
        <w:rPr>
          <w:rFonts w:cs="Verdana"/>
        </w:rPr>
      </w:pPr>
    </w:p>
    <w:p w:rsidR="007D6931" w:rsidRPr="00D57299" w:rsidRDefault="007D6931" w:rsidP="003B4A46">
      <w:pPr>
        <w:autoSpaceDE w:val="0"/>
        <w:autoSpaceDN w:val="0"/>
        <w:adjustRightInd w:val="0"/>
        <w:rPr>
          <w:rFonts w:cs="Verdana"/>
          <w:b/>
          <w:sz w:val="24"/>
          <w:szCs w:val="24"/>
        </w:rPr>
      </w:pPr>
      <w:r w:rsidRPr="00D57299">
        <w:rPr>
          <w:rFonts w:cs="Verdana"/>
          <w:b/>
          <w:sz w:val="24"/>
          <w:szCs w:val="24"/>
        </w:rPr>
        <w:t>Målgruppe</w:t>
      </w:r>
    </w:p>
    <w:p w:rsidR="007D6931" w:rsidRDefault="007D6931" w:rsidP="003B4A46">
      <w:pPr>
        <w:autoSpaceDE w:val="0"/>
        <w:autoSpaceDN w:val="0"/>
        <w:adjustRightInd w:val="0"/>
        <w:rPr>
          <w:rFonts w:cs="Verdana"/>
        </w:rPr>
      </w:pPr>
      <w:r>
        <w:rPr>
          <w:rFonts w:cs="Verdana"/>
        </w:rPr>
        <w:t>Offentlige og private leverandører der leverer ydelser for tilbud efter § 83, som er omfattet af reglerne om frit valg af leverandør § 91.</w:t>
      </w:r>
    </w:p>
    <w:p w:rsidR="007D6931" w:rsidRDefault="007D6931" w:rsidP="003B4A46">
      <w:pPr>
        <w:autoSpaceDE w:val="0"/>
        <w:autoSpaceDN w:val="0"/>
        <w:adjustRightInd w:val="0"/>
        <w:rPr>
          <w:rFonts w:cs="Verdana"/>
          <w:b/>
          <w:sz w:val="24"/>
          <w:szCs w:val="24"/>
        </w:rPr>
      </w:pPr>
    </w:p>
    <w:p w:rsidR="007D6931" w:rsidRDefault="007D6931" w:rsidP="00B118D5">
      <w:pPr>
        <w:autoSpaceDE w:val="0"/>
        <w:autoSpaceDN w:val="0"/>
        <w:adjustRightInd w:val="0"/>
        <w:rPr>
          <w:rFonts w:cs="Verdana"/>
          <w:b/>
          <w:sz w:val="24"/>
          <w:szCs w:val="24"/>
        </w:rPr>
      </w:pPr>
      <w:r>
        <w:rPr>
          <w:rFonts w:cs="Verdana"/>
          <w:b/>
          <w:sz w:val="24"/>
          <w:szCs w:val="24"/>
        </w:rPr>
        <w:t>Procedure for udførelse af tilsyn</w:t>
      </w:r>
    </w:p>
    <w:p w:rsidR="007D6931" w:rsidRDefault="007D6931" w:rsidP="007742ED">
      <w:pPr>
        <w:autoSpaceDE w:val="0"/>
        <w:autoSpaceDN w:val="0"/>
        <w:adjustRightInd w:val="0"/>
        <w:rPr>
          <w:rFonts w:cs="Verdana"/>
        </w:rPr>
      </w:pPr>
      <w:r>
        <w:rPr>
          <w:rFonts w:cs="Verdana"/>
        </w:rPr>
        <w:t>Borgernes perspektiv på hjemmeplejen</w:t>
      </w:r>
      <w:r w:rsidR="002748AA">
        <w:rPr>
          <w:rFonts w:cs="Verdana"/>
        </w:rPr>
        <w:t xml:space="preserve"> er</w:t>
      </w:r>
      <w:r>
        <w:rPr>
          <w:rFonts w:cs="Verdana"/>
        </w:rPr>
        <w:t xml:space="preserve"> et afgørende anvendelsespotentiale i forhold til tilsyn med hjemmeplejen. Denne viden skal anvendes til </w:t>
      </w:r>
      <w:r w:rsidR="002748AA">
        <w:rPr>
          <w:rFonts w:cs="Verdana"/>
        </w:rPr>
        <w:t>at sikre ar</w:t>
      </w:r>
      <w:r>
        <w:rPr>
          <w:rFonts w:cs="Verdana"/>
        </w:rPr>
        <w:t xml:space="preserve"> borgerens behov, ønsker og forventninger til plejen imødekommes</w:t>
      </w:r>
      <w:r w:rsidR="002748AA">
        <w:rPr>
          <w:rFonts w:cs="Verdana"/>
        </w:rPr>
        <w:t xml:space="preserve"> i videst muligt omfang</w:t>
      </w:r>
      <w:r>
        <w:rPr>
          <w:rFonts w:cs="Verdana"/>
        </w:rPr>
        <w:t xml:space="preserve">. Dialogen med borgerne er således et bærende element i kommunernes tilsyns- og opfølgningspraksis, der skal sikre kvaliteten hos leverandørerne. </w:t>
      </w:r>
    </w:p>
    <w:p w:rsidR="007D6931" w:rsidRDefault="007D6931" w:rsidP="007742ED">
      <w:pPr>
        <w:autoSpaceDE w:val="0"/>
        <w:autoSpaceDN w:val="0"/>
        <w:adjustRightInd w:val="0"/>
        <w:rPr>
          <w:rFonts w:cs="Verdana"/>
        </w:rPr>
      </w:pPr>
    </w:p>
    <w:p w:rsidR="007D6931" w:rsidRPr="00B35FB6" w:rsidRDefault="007D6931" w:rsidP="007742ED">
      <w:pPr>
        <w:autoSpaceDE w:val="0"/>
        <w:autoSpaceDN w:val="0"/>
        <w:adjustRightInd w:val="0"/>
        <w:rPr>
          <w:rFonts w:cs="Verdana"/>
        </w:rPr>
      </w:pPr>
      <w:r>
        <w:rPr>
          <w:rFonts w:cs="Verdana"/>
        </w:rPr>
        <w:t>Der foretages s</w:t>
      </w:r>
      <w:r w:rsidRPr="00B35FB6">
        <w:rPr>
          <w:rFonts w:cs="Verdana"/>
        </w:rPr>
        <w:t xml:space="preserve">amme </w:t>
      </w:r>
      <w:r>
        <w:rPr>
          <w:rFonts w:cs="Verdana"/>
        </w:rPr>
        <w:t xml:space="preserve">form for </w:t>
      </w:r>
      <w:r w:rsidRPr="00B35FB6">
        <w:rPr>
          <w:rFonts w:cs="Verdana"/>
        </w:rPr>
        <w:t>tilsyn med både offentlig og privat leverandø</w:t>
      </w:r>
      <w:r>
        <w:rPr>
          <w:rFonts w:cs="Verdana"/>
        </w:rPr>
        <w:t>r.</w:t>
      </w:r>
    </w:p>
    <w:p w:rsidR="007D6931" w:rsidRDefault="007D6931" w:rsidP="007742ED">
      <w:pPr>
        <w:autoSpaceDE w:val="0"/>
        <w:autoSpaceDN w:val="0"/>
        <w:adjustRightInd w:val="0"/>
        <w:rPr>
          <w:rFonts w:cs="Verdana"/>
        </w:rPr>
      </w:pPr>
    </w:p>
    <w:p w:rsidR="007D6931" w:rsidRDefault="007D6931" w:rsidP="007742ED">
      <w:pPr>
        <w:autoSpaceDE w:val="0"/>
        <w:autoSpaceDN w:val="0"/>
        <w:adjustRightInd w:val="0"/>
        <w:rPr>
          <w:rFonts w:cs="Verdana"/>
        </w:rPr>
      </w:pPr>
      <w:r w:rsidRPr="00B35FB6">
        <w:rPr>
          <w:rFonts w:cs="Verdana"/>
        </w:rPr>
        <w:t>Tilsyn foretages a</w:t>
      </w:r>
      <w:r>
        <w:rPr>
          <w:rFonts w:cs="Verdana"/>
        </w:rPr>
        <w:t>f M</w:t>
      </w:r>
      <w:r w:rsidRPr="00B35FB6">
        <w:rPr>
          <w:rFonts w:cs="Verdana"/>
        </w:rPr>
        <w:t>yndighedsafdelingen</w:t>
      </w:r>
      <w:r>
        <w:rPr>
          <w:rFonts w:cs="Verdana"/>
        </w:rPr>
        <w:t xml:space="preserve"> hos </w:t>
      </w:r>
      <w:r w:rsidRPr="00B35FB6">
        <w:rPr>
          <w:rFonts w:cs="Verdana"/>
        </w:rPr>
        <w:t xml:space="preserve">den enkelte borger i forbindelse med Myndighedsafdelingens revurdering af hjælpen, </w:t>
      </w:r>
      <w:r>
        <w:rPr>
          <w:rFonts w:cs="Verdana"/>
        </w:rPr>
        <w:t xml:space="preserve">typisk </w:t>
      </w:r>
      <w:r w:rsidRPr="00B35FB6">
        <w:rPr>
          <w:rFonts w:cs="Verdana"/>
        </w:rPr>
        <w:t xml:space="preserve">ca. hver 1 ½ år. </w:t>
      </w:r>
    </w:p>
    <w:p w:rsidR="007D6931" w:rsidRDefault="007D6931" w:rsidP="007742ED">
      <w:pPr>
        <w:autoSpaceDE w:val="0"/>
        <w:autoSpaceDN w:val="0"/>
        <w:adjustRightInd w:val="0"/>
        <w:rPr>
          <w:rFonts w:cs="Verdana"/>
        </w:rPr>
      </w:pPr>
      <w:r w:rsidRPr="00B35FB6">
        <w:rPr>
          <w:rFonts w:cs="Verdana"/>
        </w:rPr>
        <w:t>Her vurderes der på</w:t>
      </w:r>
      <w:r>
        <w:rPr>
          <w:rFonts w:cs="Verdana"/>
        </w:rPr>
        <w:t>:</w:t>
      </w:r>
    </w:p>
    <w:p w:rsidR="007D6931" w:rsidRDefault="007D6931" w:rsidP="007742ED">
      <w:pPr>
        <w:pStyle w:val="Listeafsnit"/>
        <w:numPr>
          <w:ilvl w:val="0"/>
          <w:numId w:val="24"/>
        </w:numPr>
        <w:autoSpaceDE w:val="0"/>
        <w:autoSpaceDN w:val="0"/>
        <w:adjustRightInd w:val="0"/>
        <w:rPr>
          <w:rFonts w:cs="Verdana"/>
        </w:rPr>
      </w:pPr>
      <w:r>
        <w:rPr>
          <w:rFonts w:cs="Verdana"/>
        </w:rPr>
        <w:t>om indholdet i de leverede ydelser stemmer overens med de visiterede ydelser</w:t>
      </w:r>
      <w:r w:rsidRPr="007742ED">
        <w:rPr>
          <w:rFonts w:cs="Verdana"/>
        </w:rPr>
        <w:t xml:space="preserve"> </w:t>
      </w:r>
    </w:p>
    <w:p w:rsidR="007D6931" w:rsidRDefault="007D6931" w:rsidP="007742ED">
      <w:pPr>
        <w:pStyle w:val="Listeafsnit"/>
        <w:numPr>
          <w:ilvl w:val="0"/>
          <w:numId w:val="24"/>
        </w:numPr>
        <w:autoSpaceDE w:val="0"/>
        <w:autoSpaceDN w:val="0"/>
        <w:adjustRightInd w:val="0"/>
        <w:rPr>
          <w:rFonts w:cs="Verdana"/>
        </w:rPr>
      </w:pPr>
      <w:r w:rsidRPr="007742ED">
        <w:rPr>
          <w:rFonts w:cs="Verdana"/>
        </w:rPr>
        <w:t>fagligheden i ydelserne</w:t>
      </w:r>
    </w:p>
    <w:p w:rsidR="007D6931" w:rsidRPr="007742ED" w:rsidRDefault="007D6931" w:rsidP="007742ED">
      <w:pPr>
        <w:pStyle w:val="Listeafsnit"/>
        <w:numPr>
          <w:ilvl w:val="0"/>
          <w:numId w:val="24"/>
        </w:numPr>
        <w:autoSpaceDE w:val="0"/>
        <w:autoSpaceDN w:val="0"/>
        <w:adjustRightInd w:val="0"/>
        <w:rPr>
          <w:rFonts w:cs="Verdana"/>
        </w:rPr>
      </w:pPr>
      <w:r w:rsidRPr="007742ED">
        <w:rPr>
          <w:rFonts w:cs="Verdana"/>
        </w:rPr>
        <w:t xml:space="preserve">borgerens tilfredshed med </w:t>
      </w:r>
      <w:r>
        <w:rPr>
          <w:rFonts w:cs="Verdana"/>
        </w:rPr>
        <w:t>de leverede ydelser</w:t>
      </w:r>
    </w:p>
    <w:p w:rsidR="007D6931" w:rsidRDefault="007D6931" w:rsidP="00D4687B">
      <w:pPr>
        <w:autoSpaceDE w:val="0"/>
        <w:autoSpaceDN w:val="0"/>
        <w:adjustRightInd w:val="0"/>
        <w:rPr>
          <w:rFonts w:cs="Verdana"/>
        </w:rPr>
      </w:pPr>
    </w:p>
    <w:p w:rsidR="007D6931" w:rsidRDefault="007D6931" w:rsidP="001562AA">
      <w:pPr>
        <w:autoSpaceDE w:val="0"/>
        <w:autoSpaceDN w:val="0"/>
        <w:adjustRightInd w:val="0"/>
        <w:rPr>
          <w:rFonts w:cs="Verdana"/>
        </w:rPr>
      </w:pPr>
      <w:r w:rsidRPr="00B35FB6">
        <w:rPr>
          <w:rFonts w:cs="Verdana"/>
        </w:rPr>
        <w:t xml:space="preserve">Myndighedsafdelingen foretager </w:t>
      </w:r>
      <w:r>
        <w:rPr>
          <w:rFonts w:cs="Verdana"/>
        </w:rPr>
        <w:t xml:space="preserve">desuden </w:t>
      </w:r>
      <w:r w:rsidRPr="00B35FB6">
        <w:rPr>
          <w:rFonts w:cs="Verdana"/>
        </w:rPr>
        <w:t>via stikprøve audit i forhold til faglighed og dokumentation hos et udsnit af de mest komplekse borgere</w:t>
      </w:r>
      <w:r>
        <w:rPr>
          <w:rFonts w:cs="Verdana"/>
        </w:rPr>
        <w:t xml:space="preserve"> i hjemmeplejen</w:t>
      </w:r>
      <w:r w:rsidRPr="00B35FB6">
        <w:rPr>
          <w:rFonts w:cs="Verdana"/>
        </w:rPr>
        <w:t>, minimum 1 x årlig</w:t>
      </w:r>
      <w:r>
        <w:rPr>
          <w:rFonts w:cs="Verdana"/>
        </w:rPr>
        <w:t>t.</w:t>
      </w:r>
    </w:p>
    <w:p w:rsidR="007D6931" w:rsidRDefault="007D6931" w:rsidP="00F009F8">
      <w:pPr>
        <w:autoSpaceDE w:val="0"/>
        <w:autoSpaceDN w:val="0"/>
        <w:adjustRightInd w:val="0"/>
        <w:rPr>
          <w:rFonts w:cs="Verdana"/>
          <w:b/>
          <w:sz w:val="24"/>
          <w:szCs w:val="24"/>
        </w:rPr>
      </w:pPr>
    </w:p>
    <w:p w:rsidR="007D6931" w:rsidRDefault="007D6931" w:rsidP="00F009F8">
      <w:pPr>
        <w:autoSpaceDE w:val="0"/>
        <w:autoSpaceDN w:val="0"/>
        <w:adjustRightInd w:val="0"/>
        <w:rPr>
          <w:rFonts w:cs="Verdana"/>
          <w:b/>
          <w:sz w:val="24"/>
          <w:szCs w:val="24"/>
        </w:rPr>
      </w:pPr>
      <w:r>
        <w:rPr>
          <w:rFonts w:cs="Verdana"/>
          <w:b/>
          <w:sz w:val="24"/>
          <w:szCs w:val="24"/>
        </w:rPr>
        <w:t>Procedure</w:t>
      </w:r>
      <w:r w:rsidRPr="00F009F8">
        <w:rPr>
          <w:rFonts w:cs="Verdana"/>
          <w:b/>
          <w:sz w:val="24"/>
          <w:szCs w:val="24"/>
        </w:rPr>
        <w:t xml:space="preserve"> for </w:t>
      </w:r>
      <w:r>
        <w:rPr>
          <w:rFonts w:cs="Verdana"/>
          <w:b/>
          <w:sz w:val="24"/>
          <w:szCs w:val="24"/>
        </w:rPr>
        <w:t xml:space="preserve">opfølgning på </w:t>
      </w:r>
      <w:r w:rsidRPr="00F009F8">
        <w:rPr>
          <w:rFonts w:cs="Verdana"/>
          <w:b/>
          <w:sz w:val="24"/>
          <w:szCs w:val="24"/>
        </w:rPr>
        <w:t>tilsyn</w:t>
      </w:r>
      <w:r>
        <w:rPr>
          <w:rFonts w:cs="Verdana"/>
          <w:b/>
          <w:sz w:val="24"/>
          <w:szCs w:val="24"/>
        </w:rPr>
        <w:t xml:space="preserve"> </w:t>
      </w:r>
    </w:p>
    <w:p w:rsidR="007D6931" w:rsidRDefault="007D6931" w:rsidP="007742ED">
      <w:pPr>
        <w:autoSpaceDE w:val="0"/>
        <w:autoSpaceDN w:val="0"/>
        <w:adjustRightInd w:val="0"/>
        <w:rPr>
          <w:rFonts w:cs="Verdana"/>
        </w:rPr>
      </w:pPr>
      <w:r>
        <w:rPr>
          <w:rFonts w:cs="Verdana"/>
        </w:rPr>
        <w:t>Såfremt der opleves uregelmæssigheder hos en leverandør, handler Myndighedsafdelingen med det samme på dette, ved dialog med leverandøren. Hvor der er behov for yderligere opfølgning på forholdene hos en leverandør, er Myndighedsafdelingen ansvarlig for dette. Myndighedsafdelingen har kontrakt med leverandørerne, og er ansvarlige for at sikre, at leverandørerne lever op til gældende love og regler.</w:t>
      </w:r>
    </w:p>
    <w:p w:rsidR="007D6931" w:rsidRDefault="007D6931" w:rsidP="007742ED">
      <w:pPr>
        <w:autoSpaceDE w:val="0"/>
        <w:autoSpaceDN w:val="0"/>
        <w:adjustRightInd w:val="0"/>
        <w:rPr>
          <w:rFonts w:cs="Verdana"/>
        </w:rPr>
      </w:pPr>
    </w:p>
    <w:p w:rsidR="007D6931" w:rsidRDefault="007D6931" w:rsidP="007742ED">
      <w:pPr>
        <w:autoSpaceDE w:val="0"/>
        <w:autoSpaceDN w:val="0"/>
        <w:adjustRightInd w:val="0"/>
        <w:rPr>
          <w:rFonts w:cs="Verdana"/>
        </w:rPr>
      </w:pPr>
      <w:r>
        <w:rPr>
          <w:rFonts w:cs="Verdana"/>
        </w:rPr>
        <w:t xml:space="preserve">Myndighedsafdelingen sikrer en systematisk opfølgning på tilsynene og audits. </w:t>
      </w:r>
    </w:p>
    <w:p w:rsidR="007D6931" w:rsidRDefault="007D6931" w:rsidP="007742ED">
      <w:pPr>
        <w:autoSpaceDE w:val="0"/>
        <w:autoSpaceDN w:val="0"/>
        <w:adjustRightInd w:val="0"/>
        <w:rPr>
          <w:rFonts w:cs="Verdana"/>
        </w:rPr>
      </w:pPr>
    </w:p>
    <w:p w:rsidR="007D6931" w:rsidRDefault="007D6931" w:rsidP="001562AA">
      <w:pPr>
        <w:autoSpaceDE w:val="0"/>
        <w:autoSpaceDN w:val="0"/>
        <w:adjustRightInd w:val="0"/>
        <w:rPr>
          <w:rFonts w:cs="Verdana"/>
        </w:rPr>
      </w:pPr>
      <w:r w:rsidRPr="00B35FB6">
        <w:rPr>
          <w:rFonts w:cs="Verdana"/>
        </w:rPr>
        <w:t>Der udarbejdes 1 x årligt en rapport over resultaterne af tilsyne</w:t>
      </w:r>
      <w:r>
        <w:rPr>
          <w:rFonts w:cs="Verdana"/>
        </w:rPr>
        <w:t xml:space="preserve">ne og audits til forelæggelse for Socialudvalget. </w:t>
      </w:r>
      <w:r w:rsidRPr="001562AA">
        <w:rPr>
          <w:rFonts w:cs="Verdana"/>
        </w:rPr>
        <w:t xml:space="preserve">Ældrerådet er høringsparter ift. </w:t>
      </w:r>
      <w:proofErr w:type="gramStart"/>
      <w:r w:rsidRPr="001562AA">
        <w:rPr>
          <w:rFonts w:cs="Verdana"/>
        </w:rPr>
        <w:t>relevante sager og tiltag</w:t>
      </w:r>
      <w:r>
        <w:rPr>
          <w:rFonts w:cs="Verdana"/>
        </w:rPr>
        <w:t>.</w:t>
      </w:r>
      <w:proofErr w:type="gramEnd"/>
      <w:r>
        <w:rPr>
          <w:rFonts w:cs="Verdana"/>
        </w:rPr>
        <w:t xml:space="preserve"> Ældrerådet vil få forelagt resultaterne af tilsyn til høring, inden de forelægges Socialudvalget.</w:t>
      </w:r>
    </w:p>
    <w:p w:rsidR="007D6931" w:rsidRDefault="007D6931" w:rsidP="001562AA">
      <w:pPr>
        <w:autoSpaceDE w:val="0"/>
        <w:autoSpaceDN w:val="0"/>
        <w:adjustRightInd w:val="0"/>
        <w:rPr>
          <w:rFonts w:cs="Verdana"/>
        </w:rPr>
      </w:pPr>
    </w:p>
    <w:p w:rsidR="007D6931" w:rsidRDefault="007D6931" w:rsidP="001562AA">
      <w:pPr>
        <w:autoSpaceDE w:val="0"/>
        <w:autoSpaceDN w:val="0"/>
        <w:adjustRightInd w:val="0"/>
        <w:rPr>
          <w:rFonts w:cs="Verdana"/>
          <w:color w:val="000000"/>
        </w:rPr>
      </w:pPr>
      <w:r w:rsidRPr="00862D1A">
        <w:rPr>
          <w:rFonts w:cs="Verdana"/>
          <w:color w:val="000000"/>
        </w:rPr>
        <w:t xml:space="preserve">Resultaterne fra tilsyn og opfølgning anvendes </w:t>
      </w:r>
      <w:r>
        <w:rPr>
          <w:rFonts w:cs="Verdana"/>
          <w:color w:val="000000"/>
        </w:rPr>
        <w:t xml:space="preserve">desuden </w:t>
      </w:r>
      <w:r w:rsidRPr="00862D1A">
        <w:rPr>
          <w:rFonts w:cs="Verdana"/>
          <w:color w:val="000000"/>
        </w:rPr>
        <w:t>i den fremadrettede</w:t>
      </w:r>
      <w:r>
        <w:rPr>
          <w:rFonts w:cs="Verdana"/>
          <w:color w:val="000000"/>
        </w:rPr>
        <w:t xml:space="preserve"> </w:t>
      </w:r>
      <w:r w:rsidRPr="00862D1A">
        <w:rPr>
          <w:rFonts w:cs="Verdana"/>
          <w:color w:val="000000"/>
        </w:rPr>
        <w:t xml:space="preserve">kvalitetssikring af hjemmeplejen, hvilket </w:t>
      </w:r>
      <w:r>
        <w:rPr>
          <w:rFonts w:cs="Verdana"/>
          <w:color w:val="000000"/>
        </w:rPr>
        <w:t xml:space="preserve">også </w:t>
      </w:r>
      <w:r w:rsidRPr="00862D1A">
        <w:rPr>
          <w:rFonts w:cs="Verdana"/>
          <w:color w:val="000000"/>
        </w:rPr>
        <w:t>understreger betydningen af tilsyn og</w:t>
      </w:r>
      <w:r>
        <w:rPr>
          <w:rFonts w:cs="Verdana"/>
          <w:color w:val="000000"/>
        </w:rPr>
        <w:t xml:space="preserve"> </w:t>
      </w:r>
      <w:r w:rsidRPr="00862D1A">
        <w:rPr>
          <w:rFonts w:cs="Verdana"/>
          <w:color w:val="000000"/>
        </w:rPr>
        <w:t xml:space="preserve">opfølgning i et større læringsperspektiv. </w:t>
      </w:r>
      <w:r>
        <w:rPr>
          <w:rFonts w:cs="Verdana"/>
          <w:color w:val="000000"/>
        </w:rPr>
        <w:t>I forlængelse af fremlæggelsen skal administrationen fremkomme med forslag til eventuelle justeringer og ændringer i forhold til tilsynspolitikken.</w:t>
      </w:r>
    </w:p>
    <w:p w:rsidR="007D6931" w:rsidRDefault="007D6931" w:rsidP="007742ED">
      <w:pPr>
        <w:autoSpaceDE w:val="0"/>
        <w:autoSpaceDN w:val="0"/>
        <w:adjustRightInd w:val="0"/>
        <w:rPr>
          <w:rFonts w:cs="Verdana"/>
          <w:color w:val="2D3437"/>
        </w:rPr>
      </w:pPr>
    </w:p>
    <w:p w:rsidR="007D6931" w:rsidRPr="002515C2" w:rsidRDefault="007D6931" w:rsidP="00862D1A">
      <w:pPr>
        <w:autoSpaceDE w:val="0"/>
        <w:autoSpaceDN w:val="0"/>
        <w:adjustRightInd w:val="0"/>
        <w:rPr>
          <w:rFonts w:cs="Verdana"/>
          <w:b/>
          <w:sz w:val="24"/>
          <w:szCs w:val="24"/>
        </w:rPr>
      </w:pPr>
      <w:r w:rsidRPr="002515C2">
        <w:rPr>
          <w:rFonts w:cs="Verdana"/>
          <w:b/>
          <w:sz w:val="24"/>
          <w:szCs w:val="24"/>
        </w:rPr>
        <w:t>Egenkontrol og udvikling af tilbud</w:t>
      </w:r>
    </w:p>
    <w:p w:rsidR="007D6931" w:rsidRDefault="007D6931" w:rsidP="00862D1A">
      <w:pPr>
        <w:autoSpaceDE w:val="0"/>
        <w:autoSpaceDN w:val="0"/>
        <w:adjustRightInd w:val="0"/>
        <w:rPr>
          <w:rFonts w:cs="Verdana"/>
          <w:color w:val="000000"/>
        </w:rPr>
      </w:pPr>
      <w:r w:rsidRPr="00F641C6">
        <w:rPr>
          <w:rFonts w:cs="Verdana"/>
        </w:rPr>
        <w:t>Svendborg Kommune</w:t>
      </w:r>
      <w:r>
        <w:rPr>
          <w:rFonts w:cs="Verdana"/>
        </w:rPr>
        <w:t xml:space="preserve"> a</w:t>
      </w:r>
      <w:r w:rsidRPr="00F641C6">
        <w:rPr>
          <w:rFonts w:cs="Verdana"/>
        </w:rPr>
        <w:t xml:space="preserve">rbejder ud fra en værdibaseret tankegang. </w:t>
      </w:r>
      <w:r>
        <w:rPr>
          <w:rFonts w:cs="Verdana"/>
        </w:rPr>
        <w:t>Der a</w:t>
      </w:r>
      <w:r w:rsidRPr="00F641C6">
        <w:rPr>
          <w:rFonts w:cs="Verdana"/>
        </w:rPr>
        <w:t>rbejde</w:t>
      </w:r>
      <w:r>
        <w:rPr>
          <w:rFonts w:cs="Verdana"/>
        </w:rPr>
        <w:t>s løbende med kulturen</w:t>
      </w:r>
      <w:r w:rsidR="002748AA">
        <w:rPr>
          <w:rFonts w:cs="Verdana"/>
        </w:rPr>
        <w:t xml:space="preserve"> og ledelsen på området</w:t>
      </w:r>
      <w:r w:rsidRPr="00F641C6">
        <w:rPr>
          <w:rFonts w:cs="Verdana"/>
        </w:rPr>
        <w:t>.</w:t>
      </w:r>
      <w:r>
        <w:rPr>
          <w:rFonts w:cs="Verdana"/>
        </w:rPr>
        <w:t xml:space="preserve"> </w:t>
      </w:r>
      <w:r>
        <w:rPr>
          <w:rFonts w:cs="Verdana"/>
          <w:color w:val="000000"/>
        </w:rPr>
        <w:t>E</w:t>
      </w:r>
      <w:r w:rsidRPr="00862D1A">
        <w:rPr>
          <w:rFonts w:cs="Verdana"/>
          <w:color w:val="000000"/>
        </w:rPr>
        <w:t>n høj grad af professionalisme i arbejdet, anerkendelse af</w:t>
      </w:r>
      <w:r>
        <w:rPr>
          <w:rFonts w:cs="Verdana"/>
          <w:color w:val="000000"/>
        </w:rPr>
        <w:t xml:space="preserve"> </w:t>
      </w:r>
      <w:r w:rsidRPr="00862D1A">
        <w:rPr>
          <w:rFonts w:cs="Verdana"/>
          <w:color w:val="000000"/>
        </w:rPr>
        <w:t>medarbejderne og en værdibaseret hjemmepleje kan forebygge sager om fejl og svigt i</w:t>
      </w:r>
      <w:r>
        <w:rPr>
          <w:rFonts w:cs="Verdana"/>
          <w:color w:val="000000"/>
        </w:rPr>
        <w:t xml:space="preserve"> </w:t>
      </w:r>
      <w:r w:rsidRPr="00862D1A">
        <w:rPr>
          <w:rFonts w:cs="Verdana"/>
          <w:color w:val="000000"/>
        </w:rPr>
        <w:t xml:space="preserve">hjemmeplejen. </w:t>
      </w:r>
    </w:p>
    <w:p w:rsidR="007D6931" w:rsidRDefault="007D6931" w:rsidP="00862D1A">
      <w:pPr>
        <w:autoSpaceDE w:val="0"/>
        <w:autoSpaceDN w:val="0"/>
        <w:adjustRightInd w:val="0"/>
        <w:rPr>
          <w:rFonts w:cs="Verdana"/>
          <w:color w:val="000000"/>
        </w:rPr>
      </w:pPr>
    </w:p>
    <w:p w:rsidR="007D6931" w:rsidRDefault="007D6931" w:rsidP="00862D1A">
      <w:pPr>
        <w:autoSpaceDE w:val="0"/>
        <w:autoSpaceDN w:val="0"/>
        <w:adjustRightInd w:val="0"/>
        <w:rPr>
          <w:rFonts w:cs="Verdana"/>
        </w:rPr>
      </w:pPr>
      <w:r>
        <w:rPr>
          <w:rFonts w:cs="Verdana"/>
        </w:rPr>
        <w:t>Leverandørerne er ansvarlige for, ved egenkontrol og udvikling af egen virksomhed at sikre kvalitet og udvikling af tilbuddet.</w:t>
      </w:r>
    </w:p>
    <w:p w:rsidR="007D6931" w:rsidRDefault="007D6931" w:rsidP="005904BA">
      <w:pPr>
        <w:autoSpaceDE w:val="0"/>
        <w:autoSpaceDN w:val="0"/>
        <w:adjustRightInd w:val="0"/>
        <w:rPr>
          <w:rFonts w:cs="Verdana"/>
          <w:color w:val="2D3437"/>
        </w:rPr>
      </w:pPr>
    </w:p>
    <w:p w:rsidR="007D6931" w:rsidRPr="002515C2" w:rsidRDefault="007D6931" w:rsidP="002515C2">
      <w:pPr>
        <w:autoSpaceDE w:val="0"/>
        <w:autoSpaceDN w:val="0"/>
        <w:adjustRightInd w:val="0"/>
        <w:rPr>
          <w:rFonts w:cs="Verdana"/>
          <w:b/>
          <w:sz w:val="24"/>
          <w:szCs w:val="24"/>
        </w:rPr>
      </w:pPr>
      <w:r w:rsidRPr="002515C2">
        <w:rPr>
          <w:rFonts w:cs="Verdana"/>
          <w:b/>
          <w:color w:val="2D3437"/>
          <w:sz w:val="24"/>
          <w:szCs w:val="24"/>
        </w:rPr>
        <w:t xml:space="preserve">Procedure for </w:t>
      </w:r>
      <w:r w:rsidRPr="002515C2">
        <w:rPr>
          <w:rFonts w:cs="Verdana"/>
          <w:b/>
          <w:sz w:val="24"/>
          <w:szCs w:val="24"/>
        </w:rPr>
        <w:t>offentliggørelse af tilsynspolitik</w:t>
      </w:r>
    </w:p>
    <w:p w:rsidR="007D6931" w:rsidRDefault="007D6931" w:rsidP="005904BA">
      <w:pPr>
        <w:autoSpaceDE w:val="0"/>
        <w:autoSpaceDN w:val="0"/>
        <w:adjustRightInd w:val="0"/>
        <w:rPr>
          <w:rFonts w:cs="Verdana"/>
          <w:color w:val="2D3437"/>
        </w:rPr>
      </w:pPr>
      <w:r>
        <w:rPr>
          <w:rFonts w:cs="Verdana"/>
          <w:color w:val="2D3437"/>
        </w:rPr>
        <w:t>Tilsynspolitikken offentliggøres på kommunens hjemmeside.</w:t>
      </w:r>
    </w:p>
    <w:p w:rsidR="007D6931" w:rsidRDefault="007D6931" w:rsidP="005904BA">
      <w:pPr>
        <w:autoSpaceDE w:val="0"/>
        <w:autoSpaceDN w:val="0"/>
        <w:adjustRightInd w:val="0"/>
        <w:rPr>
          <w:rFonts w:cs="Verdana"/>
          <w:color w:val="2D3437"/>
        </w:rPr>
      </w:pPr>
    </w:p>
    <w:p w:rsidR="007D6931" w:rsidRDefault="007D6931" w:rsidP="005904BA">
      <w:pPr>
        <w:autoSpaceDE w:val="0"/>
        <w:autoSpaceDN w:val="0"/>
        <w:adjustRightInd w:val="0"/>
        <w:rPr>
          <w:rFonts w:cs="Verdana"/>
          <w:color w:val="2D3437"/>
        </w:rPr>
      </w:pPr>
    </w:p>
    <w:sectPr w:rsidR="007D6931" w:rsidSect="0038369E">
      <w:headerReference w:type="default" r:id="rId8"/>
      <w:footerReference w:type="even" r:id="rId9"/>
      <w:footerReference w:type="default" r:id="rId10"/>
      <w:headerReference w:type="first" r:id="rId11"/>
      <w:pgSz w:w="11906" w:h="16838" w:code="9"/>
      <w:pgMar w:top="2291" w:right="3402" w:bottom="1701" w:left="1134"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56" w:rsidRDefault="00FB6956">
      <w:r>
        <w:separator/>
      </w:r>
    </w:p>
  </w:endnote>
  <w:endnote w:type="continuationSeparator" w:id="0">
    <w:p w:rsidR="00FB6956" w:rsidRDefault="00FB6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31" w:rsidRDefault="00731AEE" w:rsidP="0038369E">
    <w:pPr>
      <w:pStyle w:val="Sidefod"/>
      <w:framePr w:wrap="around" w:vAnchor="text" w:hAnchor="margin" w:xAlign="right" w:y="1"/>
      <w:rPr>
        <w:rStyle w:val="Sidetal"/>
      </w:rPr>
    </w:pPr>
    <w:r>
      <w:rPr>
        <w:rStyle w:val="Sidetal"/>
      </w:rPr>
      <w:fldChar w:fldCharType="begin"/>
    </w:r>
    <w:r w:rsidR="007D6931">
      <w:rPr>
        <w:rStyle w:val="Sidetal"/>
      </w:rPr>
      <w:instrText xml:space="preserve">PAGE  </w:instrText>
    </w:r>
    <w:r>
      <w:rPr>
        <w:rStyle w:val="Sidetal"/>
      </w:rPr>
      <w:fldChar w:fldCharType="end"/>
    </w:r>
  </w:p>
  <w:p w:rsidR="007D6931" w:rsidRDefault="007D6931" w:rsidP="0038369E">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31" w:rsidRDefault="00731AEE">
    <w:pPr>
      <w:pStyle w:val="Sidefod"/>
      <w:jc w:val="right"/>
    </w:pPr>
    <w:fldSimple w:instr=" PAGE   \* MERGEFORMAT ">
      <w:r w:rsidR="000939CA">
        <w:rPr>
          <w:noProof/>
        </w:rPr>
        <w:t>2</w:t>
      </w:r>
    </w:fldSimple>
  </w:p>
  <w:p w:rsidR="007D6931" w:rsidRDefault="007D6931" w:rsidP="00862D1A">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56" w:rsidRDefault="00FB6956">
      <w:r>
        <w:separator/>
      </w:r>
    </w:p>
  </w:footnote>
  <w:footnote w:type="continuationSeparator" w:id="0">
    <w:p w:rsidR="00FB6956" w:rsidRDefault="00FB6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31" w:rsidRDefault="00154473">
    <w:pPr>
      <w:pStyle w:val="Sidehoved"/>
    </w:pPr>
    <w:r>
      <w:rPr>
        <w:noProof/>
      </w:rPr>
      <w:drawing>
        <wp:anchor distT="0" distB="0" distL="114300" distR="114300" simplePos="0" relativeHeight="251660288" behindDoc="1" locked="0" layoutInCell="1" allowOverlap="1">
          <wp:simplePos x="0" y="0"/>
          <wp:positionH relativeFrom="column">
            <wp:posOffset>3943350</wp:posOffset>
          </wp:positionH>
          <wp:positionV relativeFrom="paragraph">
            <wp:posOffset>-71755</wp:posOffset>
          </wp:positionV>
          <wp:extent cx="2051685" cy="1039495"/>
          <wp:effectExtent l="19050" t="0" r="5715" b="0"/>
          <wp:wrapTight wrapText="bothSides">
            <wp:wrapPolygon edited="0">
              <wp:start x="-201" y="0"/>
              <wp:lineTo x="-201" y="21376"/>
              <wp:lineTo x="21660" y="21376"/>
              <wp:lineTo x="21660" y="0"/>
              <wp:lineTo x="-201" y="0"/>
            </wp:wrapPolygon>
          </wp:wrapTight>
          <wp:docPr id="1" name="Billede 1" descr="Svendborg_logo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vendborg_logo_farve"/>
                  <pic:cNvPicPr>
                    <a:picLocks noChangeAspect="1" noChangeArrowheads="1"/>
                  </pic:cNvPicPr>
                </pic:nvPicPr>
                <pic:blipFill>
                  <a:blip r:embed="rId1"/>
                  <a:srcRect/>
                  <a:stretch>
                    <a:fillRect/>
                  </a:stretch>
                </pic:blipFill>
                <pic:spPr bwMode="auto">
                  <a:xfrm>
                    <a:off x="0" y="0"/>
                    <a:ext cx="2051685" cy="103949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31" w:rsidRDefault="00154473">
    <w:pPr>
      <w:pStyle w:val="Sidehoved"/>
    </w:pPr>
    <w:r>
      <w:rPr>
        <w:noProof/>
      </w:rPr>
      <w:drawing>
        <wp:anchor distT="0" distB="0" distL="114300" distR="114300" simplePos="0" relativeHeight="251662336" behindDoc="1" locked="0" layoutInCell="1" allowOverlap="1">
          <wp:simplePos x="0" y="0"/>
          <wp:positionH relativeFrom="column">
            <wp:posOffset>4095750</wp:posOffset>
          </wp:positionH>
          <wp:positionV relativeFrom="paragraph">
            <wp:posOffset>80645</wp:posOffset>
          </wp:positionV>
          <wp:extent cx="2051685" cy="1039495"/>
          <wp:effectExtent l="19050" t="0" r="5715" b="0"/>
          <wp:wrapTight wrapText="bothSides">
            <wp:wrapPolygon edited="0">
              <wp:start x="-201" y="0"/>
              <wp:lineTo x="-201" y="21376"/>
              <wp:lineTo x="21660" y="21376"/>
              <wp:lineTo x="21660" y="0"/>
              <wp:lineTo x="-201" y="0"/>
            </wp:wrapPolygon>
          </wp:wrapTight>
          <wp:docPr id="2" name="Billede 2" descr="Svendborg_logo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vendborg_logo_farve"/>
                  <pic:cNvPicPr>
                    <a:picLocks noChangeAspect="1" noChangeArrowheads="1"/>
                  </pic:cNvPicPr>
                </pic:nvPicPr>
                <pic:blipFill>
                  <a:blip r:embed="rId1"/>
                  <a:srcRect/>
                  <a:stretch>
                    <a:fillRect/>
                  </a:stretch>
                </pic:blipFill>
                <pic:spPr bwMode="auto">
                  <a:xfrm>
                    <a:off x="0" y="0"/>
                    <a:ext cx="2051685" cy="10394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5D6"/>
    <w:multiLevelType w:val="hybridMultilevel"/>
    <w:tmpl w:val="418ABCA2"/>
    <w:lvl w:ilvl="0" w:tplc="71B82748">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A495335"/>
    <w:multiLevelType w:val="hybridMultilevel"/>
    <w:tmpl w:val="CA469CD4"/>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1">
      <w:start w:val="1"/>
      <w:numFmt w:val="decimal"/>
      <w:lvlText w:val="%3)"/>
      <w:lvlJc w:val="left"/>
      <w:pPr>
        <w:tabs>
          <w:tab w:val="num" w:pos="2340"/>
        </w:tabs>
        <w:ind w:left="2340" w:hanging="36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nsid w:val="0E3A08CB"/>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1F517C8"/>
    <w:multiLevelType w:val="hybridMultilevel"/>
    <w:tmpl w:val="17961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5E5D6C"/>
    <w:multiLevelType w:val="hybridMultilevel"/>
    <w:tmpl w:val="94224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327C34"/>
    <w:multiLevelType w:val="hybridMultilevel"/>
    <w:tmpl w:val="5F14F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5157279"/>
    <w:multiLevelType w:val="multilevel"/>
    <w:tmpl w:val="63F079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1B6069"/>
    <w:multiLevelType w:val="hybridMultilevel"/>
    <w:tmpl w:val="BC5CC6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96F69A5"/>
    <w:multiLevelType w:val="hybridMultilevel"/>
    <w:tmpl w:val="7010810A"/>
    <w:lvl w:ilvl="0" w:tplc="0406000F">
      <w:start w:val="1"/>
      <w:numFmt w:val="decimal"/>
      <w:lvlText w:val="%1."/>
      <w:lvlJc w:val="left"/>
      <w:pPr>
        <w:tabs>
          <w:tab w:val="num" w:pos="1800"/>
        </w:tabs>
        <w:ind w:left="1800" w:hanging="360"/>
      </w:pPr>
      <w:rPr>
        <w:rFonts w:cs="Times New Roman"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9">
    <w:nsid w:val="1AC366AD"/>
    <w:multiLevelType w:val="hybridMultilevel"/>
    <w:tmpl w:val="034E319E"/>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1B6826FA"/>
    <w:multiLevelType w:val="hybridMultilevel"/>
    <w:tmpl w:val="E3B8BB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1E48672F"/>
    <w:multiLevelType w:val="hybridMultilevel"/>
    <w:tmpl w:val="E86CFE3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2D216A0"/>
    <w:multiLevelType w:val="hybridMultilevel"/>
    <w:tmpl w:val="3FDEB3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3E75DA2"/>
    <w:multiLevelType w:val="hybridMultilevel"/>
    <w:tmpl w:val="ADF4F9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E3B15F8"/>
    <w:multiLevelType w:val="hybridMultilevel"/>
    <w:tmpl w:val="4FB657E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40386E15"/>
    <w:multiLevelType w:val="hybridMultilevel"/>
    <w:tmpl w:val="B3882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2417F84"/>
    <w:multiLevelType w:val="hybridMultilevel"/>
    <w:tmpl w:val="95B824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36824B2"/>
    <w:multiLevelType w:val="hybridMultilevel"/>
    <w:tmpl w:val="D77C2A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6FE3719"/>
    <w:multiLevelType w:val="hybridMultilevel"/>
    <w:tmpl w:val="14265F7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CE77B91"/>
    <w:multiLevelType w:val="hybridMultilevel"/>
    <w:tmpl w:val="5F722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27E6D66"/>
    <w:multiLevelType w:val="hybridMultilevel"/>
    <w:tmpl w:val="4740BF7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689D245C"/>
    <w:multiLevelType w:val="multilevel"/>
    <w:tmpl w:val="E6669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50C2AB1"/>
    <w:multiLevelType w:val="hybridMultilevel"/>
    <w:tmpl w:val="E66690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5D25180"/>
    <w:multiLevelType w:val="hybridMultilevel"/>
    <w:tmpl w:val="A2D65B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0"/>
  </w:num>
  <w:num w:numId="4">
    <w:abstractNumId w:val="23"/>
  </w:num>
  <w:num w:numId="5">
    <w:abstractNumId w:val="12"/>
  </w:num>
  <w:num w:numId="6">
    <w:abstractNumId w:val="7"/>
  </w:num>
  <w:num w:numId="7">
    <w:abstractNumId w:val="1"/>
  </w:num>
  <w:num w:numId="8">
    <w:abstractNumId w:val="17"/>
  </w:num>
  <w:num w:numId="9">
    <w:abstractNumId w:val="6"/>
  </w:num>
  <w:num w:numId="10">
    <w:abstractNumId w:val="2"/>
  </w:num>
  <w:num w:numId="11">
    <w:abstractNumId w:val="22"/>
  </w:num>
  <w:num w:numId="12">
    <w:abstractNumId w:val="21"/>
  </w:num>
  <w:num w:numId="13">
    <w:abstractNumId w:val="8"/>
  </w:num>
  <w:num w:numId="14">
    <w:abstractNumId w:val="9"/>
  </w:num>
  <w:num w:numId="15">
    <w:abstractNumId w:val="19"/>
  </w:num>
  <w:num w:numId="16">
    <w:abstractNumId w:val="14"/>
  </w:num>
  <w:num w:numId="17">
    <w:abstractNumId w:val="11"/>
  </w:num>
  <w:num w:numId="18">
    <w:abstractNumId w:val="0"/>
  </w:num>
  <w:num w:numId="19">
    <w:abstractNumId w:val="20"/>
  </w:num>
  <w:num w:numId="20">
    <w:abstractNumId w:val="16"/>
  </w:num>
  <w:num w:numId="21">
    <w:abstractNumId w:val="4"/>
  </w:num>
  <w:num w:numId="22">
    <w:abstractNumId w:val="5"/>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rsids>
    <w:rsidRoot w:val="0038369E"/>
    <w:rsid w:val="00002046"/>
    <w:rsid w:val="00056436"/>
    <w:rsid w:val="00090709"/>
    <w:rsid w:val="000939CA"/>
    <w:rsid w:val="000C3F84"/>
    <w:rsid w:val="000E0C73"/>
    <w:rsid w:val="001112A3"/>
    <w:rsid w:val="00115F83"/>
    <w:rsid w:val="00154473"/>
    <w:rsid w:val="001562AA"/>
    <w:rsid w:val="001661EF"/>
    <w:rsid w:val="00166CD6"/>
    <w:rsid w:val="00195643"/>
    <w:rsid w:val="001A678F"/>
    <w:rsid w:val="001A7BAA"/>
    <w:rsid w:val="001C600C"/>
    <w:rsid w:val="001E26BF"/>
    <w:rsid w:val="001F3221"/>
    <w:rsid w:val="0021197E"/>
    <w:rsid w:val="002515C2"/>
    <w:rsid w:val="002726C9"/>
    <w:rsid w:val="002748AA"/>
    <w:rsid w:val="002D3143"/>
    <w:rsid w:val="00317520"/>
    <w:rsid w:val="0038369E"/>
    <w:rsid w:val="003A479E"/>
    <w:rsid w:val="003B4A46"/>
    <w:rsid w:val="003C0B4E"/>
    <w:rsid w:val="003C55DF"/>
    <w:rsid w:val="003F0498"/>
    <w:rsid w:val="00411879"/>
    <w:rsid w:val="004477B3"/>
    <w:rsid w:val="00530C20"/>
    <w:rsid w:val="00556815"/>
    <w:rsid w:val="005873CF"/>
    <w:rsid w:val="005904BA"/>
    <w:rsid w:val="00596D78"/>
    <w:rsid w:val="005F6D36"/>
    <w:rsid w:val="00605898"/>
    <w:rsid w:val="006656AC"/>
    <w:rsid w:val="0068423D"/>
    <w:rsid w:val="006A5CA5"/>
    <w:rsid w:val="006E5581"/>
    <w:rsid w:val="0071097F"/>
    <w:rsid w:val="0071186C"/>
    <w:rsid w:val="00731AEE"/>
    <w:rsid w:val="0074121F"/>
    <w:rsid w:val="00743916"/>
    <w:rsid w:val="00756FBC"/>
    <w:rsid w:val="007657B8"/>
    <w:rsid w:val="00767A25"/>
    <w:rsid w:val="007742ED"/>
    <w:rsid w:val="00774A23"/>
    <w:rsid w:val="007854F4"/>
    <w:rsid w:val="007D6931"/>
    <w:rsid w:val="008010D2"/>
    <w:rsid w:val="00835F7E"/>
    <w:rsid w:val="00862D1A"/>
    <w:rsid w:val="0088260D"/>
    <w:rsid w:val="00886BDE"/>
    <w:rsid w:val="008B30A7"/>
    <w:rsid w:val="008D64C8"/>
    <w:rsid w:val="008F0D40"/>
    <w:rsid w:val="009223A4"/>
    <w:rsid w:val="00971CC7"/>
    <w:rsid w:val="00980C87"/>
    <w:rsid w:val="009861CD"/>
    <w:rsid w:val="009F138F"/>
    <w:rsid w:val="00A05C58"/>
    <w:rsid w:val="00A10CDF"/>
    <w:rsid w:val="00A117D6"/>
    <w:rsid w:val="00A429C8"/>
    <w:rsid w:val="00A4312D"/>
    <w:rsid w:val="00A74331"/>
    <w:rsid w:val="00A75094"/>
    <w:rsid w:val="00A77633"/>
    <w:rsid w:val="00A876EB"/>
    <w:rsid w:val="00AD0C68"/>
    <w:rsid w:val="00AE21F0"/>
    <w:rsid w:val="00B118D5"/>
    <w:rsid w:val="00B174C0"/>
    <w:rsid w:val="00B35FB6"/>
    <w:rsid w:val="00BC1598"/>
    <w:rsid w:val="00BE28B6"/>
    <w:rsid w:val="00BE4E40"/>
    <w:rsid w:val="00BF4A8F"/>
    <w:rsid w:val="00C318F4"/>
    <w:rsid w:val="00C432C7"/>
    <w:rsid w:val="00C46FAD"/>
    <w:rsid w:val="00C70A5B"/>
    <w:rsid w:val="00C70DDD"/>
    <w:rsid w:val="00C75540"/>
    <w:rsid w:val="00C80CD5"/>
    <w:rsid w:val="00C86A6B"/>
    <w:rsid w:val="00CC246F"/>
    <w:rsid w:val="00CC5F39"/>
    <w:rsid w:val="00D00402"/>
    <w:rsid w:val="00D21B61"/>
    <w:rsid w:val="00D26DFC"/>
    <w:rsid w:val="00D36277"/>
    <w:rsid w:val="00D4687B"/>
    <w:rsid w:val="00D57299"/>
    <w:rsid w:val="00D61CB7"/>
    <w:rsid w:val="00D65B33"/>
    <w:rsid w:val="00D673E6"/>
    <w:rsid w:val="00DA0B7C"/>
    <w:rsid w:val="00DA1049"/>
    <w:rsid w:val="00DA434A"/>
    <w:rsid w:val="00DB6F95"/>
    <w:rsid w:val="00E16EE8"/>
    <w:rsid w:val="00E56C64"/>
    <w:rsid w:val="00E860F3"/>
    <w:rsid w:val="00E86E11"/>
    <w:rsid w:val="00EA7203"/>
    <w:rsid w:val="00EB7959"/>
    <w:rsid w:val="00EE075F"/>
    <w:rsid w:val="00EE5D62"/>
    <w:rsid w:val="00EE7B64"/>
    <w:rsid w:val="00EF25F2"/>
    <w:rsid w:val="00EF63E6"/>
    <w:rsid w:val="00F009F8"/>
    <w:rsid w:val="00F035AE"/>
    <w:rsid w:val="00F16481"/>
    <w:rsid w:val="00F641C6"/>
    <w:rsid w:val="00F71498"/>
    <w:rsid w:val="00F760B6"/>
    <w:rsid w:val="00FB6956"/>
    <w:rsid w:val="00FF096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9E"/>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38369E"/>
    <w:pPr>
      <w:tabs>
        <w:tab w:val="center" w:pos="4819"/>
        <w:tab w:val="right" w:pos="9638"/>
      </w:tabs>
    </w:pPr>
  </w:style>
  <w:style w:type="character" w:customStyle="1" w:styleId="SidehovedTegn">
    <w:name w:val="Sidehoved Tegn"/>
    <w:basedOn w:val="Standardskrifttypeiafsnit"/>
    <w:link w:val="Sidehoved"/>
    <w:uiPriority w:val="99"/>
    <w:semiHidden/>
    <w:rsid w:val="00AD136D"/>
    <w:rPr>
      <w:rFonts w:ascii="Verdana" w:hAnsi="Verdana"/>
      <w:sz w:val="20"/>
      <w:szCs w:val="20"/>
    </w:rPr>
  </w:style>
  <w:style w:type="paragraph" w:styleId="Sidefod">
    <w:name w:val="footer"/>
    <w:basedOn w:val="Normal"/>
    <w:link w:val="SidefodTegn"/>
    <w:uiPriority w:val="99"/>
    <w:rsid w:val="0038369E"/>
    <w:pPr>
      <w:tabs>
        <w:tab w:val="center" w:pos="4819"/>
        <w:tab w:val="right" w:pos="9638"/>
      </w:tabs>
    </w:pPr>
  </w:style>
  <w:style w:type="character" w:customStyle="1" w:styleId="SidefodTegn">
    <w:name w:val="Sidefod Tegn"/>
    <w:basedOn w:val="Standardskrifttypeiafsnit"/>
    <w:link w:val="Sidefod"/>
    <w:uiPriority w:val="99"/>
    <w:locked/>
    <w:rsid w:val="009861CD"/>
    <w:rPr>
      <w:rFonts w:ascii="Verdana" w:hAnsi="Verdana" w:cs="Times New Roman"/>
    </w:rPr>
  </w:style>
  <w:style w:type="character" w:styleId="Sidetal">
    <w:name w:val="page number"/>
    <w:basedOn w:val="Standardskrifttypeiafsnit"/>
    <w:uiPriority w:val="99"/>
    <w:rsid w:val="0038369E"/>
    <w:rPr>
      <w:rFonts w:cs="Times New Roman"/>
    </w:rPr>
  </w:style>
  <w:style w:type="character" w:styleId="Hyperlink">
    <w:name w:val="Hyperlink"/>
    <w:basedOn w:val="Standardskrifttypeiafsnit"/>
    <w:uiPriority w:val="99"/>
    <w:rsid w:val="00D36277"/>
    <w:rPr>
      <w:rFonts w:cs="Times New Roman"/>
      <w:color w:val="0000FF"/>
      <w:u w:val="single"/>
    </w:rPr>
  </w:style>
  <w:style w:type="paragraph" w:customStyle="1" w:styleId="Standardtekst">
    <w:name w:val="Standardtekst"/>
    <w:basedOn w:val="Normal"/>
    <w:uiPriority w:val="99"/>
    <w:rsid w:val="00166CD6"/>
    <w:pPr>
      <w:overflowPunct w:val="0"/>
      <w:autoSpaceDE w:val="0"/>
      <w:autoSpaceDN w:val="0"/>
      <w:adjustRightInd w:val="0"/>
    </w:pPr>
    <w:rPr>
      <w:rFonts w:ascii="Times New Roman" w:hAnsi="Times New Roman"/>
      <w:color w:val="000000"/>
      <w:sz w:val="24"/>
      <w:lang w:eastAsia="en-US"/>
    </w:rPr>
  </w:style>
  <w:style w:type="paragraph" w:styleId="Listeafsnit">
    <w:name w:val="List Paragraph"/>
    <w:basedOn w:val="Normal"/>
    <w:uiPriority w:val="99"/>
    <w:qFormat/>
    <w:rsid w:val="003B4A46"/>
    <w:pPr>
      <w:ind w:left="720"/>
      <w:contextualSpacing/>
    </w:pPr>
  </w:style>
  <w:style w:type="character" w:styleId="Kommentarhenvisning">
    <w:name w:val="annotation reference"/>
    <w:basedOn w:val="Standardskrifttypeiafsnit"/>
    <w:uiPriority w:val="99"/>
    <w:rsid w:val="00EF63E6"/>
    <w:rPr>
      <w:rFonts w:cs="Times New Roman"/>
      <w:sz w:val="16"/>
      <w:szCs w:val="16"/>
    </w:rPr>
  </w:style>
  <w:style w:type="paragraph" w:styleId="Kommentartekst">
    <w:name w:val="annotation text"/>
    <w:basedOn w:val="Normal"/>
    <w:link w:val="KommentartekstTegn"/>
    <w:uiPriority w:val="99"/>
    <w:rsid w:val="00EF63E6"/>
  </w:style>
  <w:style w:type="character" w:customStyle="1" w:styleId="KommentartekstTegn">
    <w:name w:val="Kommentartekst Tegn"/>
    <w:basedOn w:val="Standardskrifttypeiafsnit"/>
    <w:link w:val="Kommentartekst"/>
    <w:uiPriority w:val="99"/>
    <w:locked/>
    <w:rsid w:val="00EF63E6"/>
    <w:rPr>
      <w:rFonts w:ascii="Verdana" w:hAnsi="Verdana" w:cs="Times New Roman"/>
    </w:rPr>
  </w:style>
  <w:style w:type="paragraph" w:styleId="Kommentaremne">
    <w:name w:val="annotation subject"/>
    <w:basedOn w:val="Kommentartekst"/>
    <w:next w:val="Kommentartekst"/>
    <w:link w:val="KommentaremneTegn"/>
    <w:uiPriority w:val="99"/>
    <w:rsid w:val="00EF63E6"/>
    <w:rPr>
      <w:b/>
      <w:bCs/>
    </w:rPr>
  </w:style>
  <w:style w:type="character" w:customStyle="1" w:styleId="KommentaremneTegn">
    <w:name w:val="Kommentaremne Tegn"/>
    <w:basedOn w:val="KommentartekstTegn"/>
    <w:link w:val="Kommentaremne"/>
    <w:uiPriority w:val="99"/>
    <w:locked/>
    <w:rsid w:val="00EF63E6"/>
    <w:rPr>
      <w:b/>
      <w:bCs/>
    </w:rPr>
  </w:style>
  <w:style w:type="paragraph" w:styleId="Markeringsbobletekst">
    <w:name w:val="Balloon Text"/>
    <w:basedOn w:val="Normal"/>
    <w:link w:val="MarkeringsbobletekstTegn"/>
    <w:uiPriority w:val="99"/>
    <w:rsid w:val="00EF63E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EF6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tte.hviid.boris@svendborg.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3324</Characters>
  <Application>Microsoft Office Word</Application>
  <DocSecurity>0</DocSecurity>
  <Lines>27</Lines>
  <Paragraphs>7</Paragraphs>
  <ScaleCrop>false</ScaleCrop>
  <Company>Svendborg Kommune</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Svendborg Kommune</dc:title>
  <dc:creator>Marie Louise Holstien</dc:creator>
  <cp:lastModifiedBy>SPILMO</cp:lastModifiedBy>
  <cp:revision>2</cp:revision>
  <cp:lastPrinted>2011-10-04T10:40:00Z</cp:lastPrinted>
  <dcterms:created xsi:type="dcterms:W3CDTF">2014-07-30T08:56:00Z</dcterms:created>
  <dcterms:modified xsi:type="dcterms:W3CDTF">2014-07-30T08:56:00Z</dcterms:modified>
</cp:coreProperties>
</file>